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4A6FA5"/>
          <w:sz w:val="22"/>
          <w:szCs w:val="22"/>
        </w:rPr>
        <w:t xml:space="preserve">QEP OS — Owner &amp; Management Discovery</w:t>
      </w:r>
    </w:p>
    <w:p>
      <w:pPr>
        <w:spacing w:after="80"/>
      </w:pPr>
      <w:r>
        <w:rPr>
          <w:rFonts w:ascii="Calibri" w:cs="Calibri" w:eastAsia="Calibri" w:hAnsi="Calibri"/>
          <w:b/>
          <w:bCs/>
          <w:color w:val="1E3A5F"/>
          <w:sz w:val="44"/>
          <w:szCs w:val="44"/>
        </w:rPr>
        <w:t xml:space="preserve">Tier 3 — Specialty Flows</w:t>
      </w:r>
    </w:p>
    <w:p>
      <w:pPr>
        <w:spacing w:after="240"/>
      </w:pPr>
      <w:r>
        <w:rPr>
          <w:i/>
          <w:iCs/>
          <w:color w:val="5C6B7A"/>
          <w:sz w:val="26"/>
          <w:szCs w:val="26"/>
        </w:rPr>
        <w:t xml:space="preserve">Rental, credit, used equipment, service, commissions, and operational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8D3E0" w:sz="4"/>
              <w:left w:val="single" w:color="C8D3E0" w:sz="4"/>
              <w:bottom w:val="single" w:color="C8D3E0" w:sz="4"/>
              <w:right w:val="single" w:color="C8D3E0" w:sz="4"/>
            </w:tcBorders>
            <w:shd w:fill="4A6FA5" w:color="auto" w:val="clear"/>
            <w:tcMar>
              <w:top w:type="dxa" w:w="100"/>
              <w:left w:type="dxa" w:w="140"/>
              <w:bottom w:type="dxa" w:w="100"/>
              <w:right w:type="dxa" w:w="140"/>
            </w:tcMar>
            <w:vAlign w:val="top"/>
          </w:tcPr>
          <w:p>
            <w:r>
              <w:rPr>
                <w:b/>
                <w:bCs/>
                <w:color w:val="FFFFFF"/>
                <w:sz w:val="22"/>
                <w:szCs w:val="22"/>
              </w:rPr>
              <w:t xml:space="preserve">Audience</w:t>
            </w:r>
          </w:p>
        </w:tc>
        <w:tc>
          <w:tcPr>
            <w:tcW w:type="dxa" w:w="70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Rental Manager, Service Manager, Parts Manager, Finance Lead, IT Lead, Operations Lead, Owner</w:t>
            </w:r>
          </w:p>
        </w:tc>
      </w:tr>
      <w:tr>
        <w:trPr>
          <w:tblHeader w:val="false"/>
        </w:trPr>
        <w:tc>
          <w:tcPr>
            <w:tcW w:type="dxa" w:w="2300"/>
            <w:tcBorders>
              <w:top w:val="single" w:color="C8D3E0" w:sz="4"/>
              <w:left w:val="single" w:color="C8D3E0" w:sz="4"/>
              <w:bottom w:val="single" w:color="C8D3E0" w:sz="4"/>
              <w:right w:val="single" w:color="C8D3E0" w:sz="4"/>
            </w:tcBorders>
            <w:shd w:fill="4A6FA5" w:color="auto" w:val="clear"/>
            <w:tcMar>
              <w:top w:type="dxa" w:w="100"/>
              <w:left w:type="dxa" w:w="140"/>
              <w:bottom w:type="dxa" w:w="100"/>
              <w:right w:type="dxa" w:w="140"/>
            </w:tcMar>
            <w:vAlign w:val="top"/>
          </w:tcPr>
          <w:p>
            <w:r>
              <w:rPr>
                <w:b/>
                <w:bCs/>
                <w:color w:val="FFFFFF"/>
                <w:sz w:val="22"/>
                <w:szCs w:val="22"/>
              </w:rPr>
              <w:t xml:space="preserve">Date issued</w:t>
            </w:r>
          </w:p>
        </w:tc>
        <w:tc>
          <w:tcPr>
            <w:tcW w:type="dxa" w:w="70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May 17, 2026</w:t>
            </w:r>
          </w:p>
        </w:tc>
      </w:tr>
    </w:tbl>
    <w:p>
      <w:pPr>
        <w:spacing w:after="160"/>
      </w:pPr>
      <w:r>
        <w:t xml:space="preserve"/>
      </w:r>
    </w:p>
    <w:p>
      <w:pPr>
        <w:spacing w:after="200"/>
      </w:pPr>
      <w:r>
        <w:rPr>
          <w:i/>
          <w:iCs/>
          <w:color w:val="5C6B7A"/>
          <w:sz w:val="22"/>
          <w:szCs w:val="22"/>
        </w:rPr>
        <w:t xml:space="preserve">The off-ramps of the dealership: rental, credit gating, used equipment and reconditioning, parts kits, service contracts, commission structures, multi-branch operations, offline reliability, and HubSpot legacy data. Six clusters spanning the work the standard quote flow doesn’t cover.</w:t>
      </w:r>
    </w:p>
    <w:p>
      <w:pPr>
        <w:pStyle w:val="Heading2"/>
      </w:pPr>
      <w:r>
        <w:rPr>
          <w:rFonts w:ascii="Calibri" w:cs="Calibri" w:eastAsia="Calibri" w:hAnsi="Calibri"/>
          <w:b/>
          <w:bCs/>
          <w:color w:val="1E3A5F"/>
        </w:rPr>
        <w:t xml:space="preserve">How to use this document</w:t>
      </w:r>
    </w:p>
    <w:p>
      <w:pPr>
        <w:spacing w:after="120"/>
      </w:pPr>
      <w:r>
        <w:rPr>
          <w:color w:val="1A1A1A"/>
          <w:sz w:val="22"/>
          <w:szCs w:val="22"/>
        </w:rPr>
        <w:t xml:space="preserve">Each Decision Point in this document is a question only the leadership team can answer. Engineering will build the QEP OS quote system around the rulebook you record here.</w:t>
      </w:r>
    </w:p>
    <w:p>
      <w:pPr>
        <w:spacing w:after="120"/>
      </w:pPr>
      <w:r>
        <w:rPr>
          <w:color w:val="1A1A1A"/>
          <w:sz w:val="22"/>
          <w:szCs w:val="22"/>
        </w:rPr>
        <w:t xml:space="preserve">For each Decision Point, read the question, scan the options table, note the engineering team’s recommended starting point, then write your answer in the amber-bordered “Your answer” box below the recommendation. There are no wrong answers; there are only undocumented ones.</w:t>
      </w:r>
    </w:p>
    <w:p>
      <w:pPr>
        <w:spacing w:after="160"/>
      </w:pPr>
      <w:r>
        <w:rPr>
          <w:color w:val="1A1A1A"/>
          <w:sz w:val="22"/>
          <w:szCs w:val="22"/>
        </w:rPr>
        <w:t xml:space="preserve">Return the completed document by reply email, an inline meeting review, or a recorded session. Anything you leave blank will default to the recommended starting point with an “owner-deferred” flag in the system so you can override later.</w:t>
      </w:r>
    </w:p>
    <w:p>
      <w:r>
        <w:br w:type="page"/>
      </w:r>
    </w:p>
    <w:p>
      <w:pPr>
        <w:pStyle w:val="Heading1"/>
      </w:pPr>
      <w:r>
        <w:rPr>
          <w:rFonts w:ascii="Calibri" w:cs="Calibri" w:eastAsia="Calibri" w:hAnsi="Calibri"/>
          <w:b/>
          <w:bCs/>
          <w:color w:val="1E3A5F"/>
        </w:rPr>
        <w:t xml:space="preserve">1. Why this document exists</w:t>
      </w:r>
    </w:p>
    <w:p>
      <w:pPr>
        <w:spacing w:after="120"/>
      </w:pPr>
      <w:r>
        <w:rPr>
          <w:color w:val="1A1A1A"/>
          <w:sz w:val="22"/>
          <w:szCs w:val="22"/>
        </w:rPr>
        <w:t xml:space="preserve">Tiers 0–2 covered the main road of a sales quote. This document covers the off-ramps — the parts of the dealership where the standard quote flow doesn’t quite fit:</w:t>
      </w:r>
    </w:p>
    <w:p>
      <w:pPr>
        <w:pStyle w:val="ListParagraph"/>
        <w:numPr>
          <w:ilvl w:val="0"/>
          <w:numId w:val="2"/>
        </w:numPr>
        <w:spacing w:after="80"/>
      </w:pPr>
      <w:r>
        <w:rPr>
          <w:color w:val="1A1A1A"/>
          <w:sz w:val="22"/>
          <w:szCs w:val="22"/>
        </w:rPr>
        <w:t xml:space="preserve">Rental and rent-to-own (a different product entirely)</w:t>
      </w:r>
    </w:p>
    <w:p>
      <w:pPr>
        <w:pStyle w:val="ListParagraph"/>
        <w:numPr>
          <w:ilvl w:val="0"/>
          <w:numId w:val="2"/>
        </w:numPr>
        <w:spacing w:after="80"/>
      </w:pPr>
      <w:r>
        <w:rPr>
          <w:color w:val="1A1A1A"/>
          <w:sz w:val="22"/>
          <w:szCs w:val="22"/>
        </w:rPr>
        <w:t xml:space="preserve">Customers who can’t pay (credit gating)</w:t>
      </w:r>
    </w:p>
    <w:p>
      <w:pPr>
        <w:pStyle w:val="ListParagraph"/>
        <w:numPr>
          <w:ilvl w:val="0"/>
          <w:numId w:val="2"/>
        </w:numPr>
        <w:spacing w:after="80"/>
      </w:pPr>
      <w:r>
        <w:rPr>
          <w:color w:val="1A1A1A"/>
          <w:sz w:val="22"/>
          <w:szCs w:val="22"/>
        </w:rPr>
        <w:t xml:space="preserve">Used equipment, reconditioning, and parts kit nuances</w:t>
      </w:r>
    </w:p>
    <w:p>
      <w:pPr>
        <w:pStyle w:val="ListParagraph"/>
        <w:numPr>
          <w:ilvl w:val="0"/>
          <w:numId w:val="2"/>
        </w:numPr>
        <w:spacing w:after="80"/>
      </w:pPr>
      <w:r>
        <w:rPr>
          <w:color w:val="1A1A1A"/>
          <w:sz w:val="22"/>
          <w:szCs w:val="22"/>
        </w:rPr>
        <w:t xml:space="preserve">Service contracts and warranty attachments</w:t>
      </w:r>
    </w:p>
    <w:p>
      <w:pPr>
        <w:pStyle w:val="ListParagraph"/>
        <w:numPr>
          <w:ilvl w:val="0"/>
          <w:numId w:val="2"/>
        </w:numPr>
        <w:spacing w:after="80"/>
      </w:pPr>
      <w:r>
        <w:rPr>
          <w:color w:val="1A1A1A"/>
          <w:sz w:val="22"/>
          <w:szCs w:val="22"/>
        </w:rPr>
        <w:t xml:space="preserve">Commission structures and the owner’s analytics</w:t>
      </w:r>
    </w:p>
    <w:p>
      <w:pPr>
        <w:pStyle w:val="ListParagraph"/>
        <w:numPr>
          <w:ilvl w:val="0"/>
          <w:numId w:val="2"/>
        </w:numPr>
        <w:spacing w:after="80"/>
      </w:pPr>
      <w:r>
        <w:rPr>
          <w:color w:val="1A1A1A"/>
          <w:sz w:val="22"/>
          <w:szCs w:val="22"/>
        </w:rPr>
        <w:t xml:space="preserve">The operational reality of multi-branch, offline, mobile-only, and legacy data</w:t>
      </w:r>
    </w:p>
    <w:p>
      <w:pPr>
        <w:spacing w:after="40"/>
      </w:pPr>
      <w:r>
        <w:t xml:space="preserve"/>
      </w:r>
    </w:p>
    <w:p>
      <w:pPr>
        <w:spacing w:after="120"/>
      </w:pPr>
      <w:r>
        <w:rPr>
          <w:color w:val="1A1A1A"/>
          <w:sz w:val="22"/>
          <w:szCs w:val="22"/>
        </w:rPr>
        <w:t xml:space="preserve">The danger of skipping this tier is that QEP OS becomes “great for new equipment sales, useless for everything else.” That contradicts the QEP mission, which explicitly names equipment AND parts, sales AND rental, for employees, salesman, company corporate operations, and management.</w:t>
      </w:r>
    </w:p>
    <w:p>
      <w:pPr>
        <w:pStyle w:val="Heading1"/>
      </w:pPr>
      <w:r>
        <w:rPr>
          <w:rFonts w:ascii="Calibri" w:cs="Calibri" w:eastAsia="Calibri" w:hAnsi="Calibri"/>
          <w:b/>
          <w:bCs/>
          <w:color w:val="1E3A5F"/>
        </w:rPr>
        <w:t xml:space="preserve">2. Suggested review structure</w:t>
      </w:r>
    </w:p>
    <w:p>
      <w:pPr>
        <w:spacing w:after="120"/>
      </w:pPr>
      <w:r>
        <w:rPr>
          <w:color w:val="1A1A1A"/>
          <w:sz w:val="22"/>
          <w:szCs w:val="22"/>
        </w:rPr>
        <w:t xml:space="preserve">Given the audience fans out across six or more roles, we recommend splitting the review across two sessions:</w:t>
      </w:r>
    </w:p>
    <w:p>
      <w:pPr>
        <w:pStyle w:val="ListParagraph"/>
        <w:numPr>
          <w:ilvl w:val="0"/>
          <w:numId w:val="2"/>
        </w:numPr>
        <w:spacing w:after="80"/>
      </w:pPr>
      <w:r>
        <w:rPr>
          <w:color w:val="1A1A1A"/>
          <w:sz w:val="22"/>
          <w:szCs w:val="22"/>
        </w:rPr>
        <w:t xml:space="preserve">Session 1: Clusters A, B, C — Customer/Credit, Equipment/Parts, Rental. Audience: Owner + VP Sales + Rental Manager + Parts Manager + Used Equipment Manager.</w:t>
      </w:r>
    </w:p>
    <w:p>
      <w:pPr>
        <w:pStyle w:val="ListParagraph"/>
        <w:numPr>
          <w:ilvl w:val="0"/>
          <w:numId w:val="2"/>
        </w:numPr>
        <w:spacing w:after="80"/>
      </w:pPr>
      <w:r>
        <w:rPr>
          <w:color w:val="1A1A1A"/>
          <w:sz w:val="22"/>
          <w:szCs w:val="22"/>
        </w:rPr>
        <w:t xml:space="preserve">Session 2: Clusters D, E, F — Service, Reporting/Commissions, Operational Edge. Audience: Owner + Finance + IT + Service Manager.</w:t>
      </w:r>
    </w:p>
    <w:p>
      <w:pPr>
        <w:spacing w:after="40"/>
      </w:pPr>
      <w:r>
        <w:t xml:space="preserve"/>
      </w:r>
    </w:p>
    <w:p>
      <w:pPr>
        <w:spacing w:after="120"/>
      </w:pPr>
      <w:r>
        <w:rPr>
          <w:color w:val="1A1A1A"/>
          <w:sz w:val="22"/>
          <w:szCs w:val="22"/>
        </w:rPr>
        <w:t xml:space="preserve">Approximately 34 Decision Points across six clusters. Each role-owner can fill in their cluster independently, followed by a 60-minute reconciliation session to resolve cross-cluster conflicts (for example, commission structure interacts with customer tiers).</w:t>
      </w:r>
    </w:p>
    <w:p>
      <w:pPr>
        <w:pStyle w:val="Heading1"/>
      </w:pPr>
      <w:r>
        <w:rPr>
          <w:rFonts w:ascii="Calibri" w:cs="Calibri" w:eastAsia="Calibri" w:hAnsi="Calibri"/>
          <w:b/>
          <w:bCs/>
          <w:color w:val="1E3A5F"/>
        </w:rPr>
        <w:t xml:space="preserve">3. Decision Points — Cluster A: Customer Setup &amp; Credit Gating</w:t>
      </w:r>
    </w:p>
    <w:p>
      <w:pPr>
        <w:spacing w:after="80" w:before="240"/>
      </w:pPr>
      <w:r>
        <w:rPr>
          <w:b/>
          <w:bCs/>
          <w:color w:val="1E3A5F"/>
          <w:sz w:val="26"/>
          <w:szCs w:val="26"/>
        </w:rPr>
        <w:t xml:space="preserve">Decision Point 1.1 </w:t>
      </w:r>
      <w:r>
        <w:rPr>
          <w:b/>
          <w:bCs/>
          <w:color w:val="1E3A5F"/>
          <w:sz w:val="26"/>
          <w:szCs w:val="26"/>
        </w:rPr>
        <w:t xml:space="preserve">— New customer credit gating</w:t>
      </w:r>
    </w:p>
    <w:p>
      <w:pPr>
        <w:spacing w:after="120"/>
      </w:pPr>
      <w:r>
        <w:rPr>
          <w:b/>
          <w:bCs/>
          <w:color w:val="1A1A1A"/>
          <w:sz w:val="22"/>
          <w:szCs w:val="22"/>
        </w:rPr>
        <w:t xml:space="preserve">Question: </w:t>
      </w:r>
      <w:r>
        <w:rPr>
          <w:color w:val="1A1A1A"/>
          <w:sz w:val="22"/>
          <w:szCs w:val="22"/>
        </w:rPr>
        <w:t xml:space="preserve">Can a rep build a quote for a brand-new customer who has no credit file 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Yes, no gate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Fastest.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Risk of wasted sales cycles on uncreditworthy customers.</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Yes, but quote is marked “subject to credit approval” until credit is run</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Customer-facing PDF carries the caveat.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No — credit must be run before a quote can be drafted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conservative.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Slows new customer acquisition.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Cash deals exempt; financed deals gated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Hybrid. Requires DP 1.5 answered.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Phase 1; refine to D as a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1.2 </w:t>
      </w:r>
      <w:r>
        <w:rPr>
          <w:b/>
          <w:bCs/>
          <w:color w:val="1E3A5F"/>
          <w:sz w:val="26"/>
          <w:szCs w:val="26"/>
        </w:rPr>
        <w:t xml:space="preserve">— Over-credit-limit handling mid-quote</w:t>
      </w:r>
    </w:p>
    <w:p>
      <w:pPr>
        <w:spacing w:after="120"/>
      </w:pPr>
      <w:r>
        <w:rPr>
          <w:b/>
          <w:bCs/>
          <w:color w:val="1A1A1A"/>
          <w:sz w:val="22"/>
          <w:szCs w:val="22"/>
        </w:rPr>
        <w:t xml:space="preserve">Question: </w:t>
      </w:r>
      <w:r>
        <w:rPr>
          <w:color w:val="1A1A1A"/>
          <w:sz w:val="22"/>
          <w:szCs w:val="22"/>
        </w:rPr>
        <w:t xml:space="preserve">Existing customer is over their credit limit. Rep is building a quote that would push them further over.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Block — cannot send quote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Safest.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Loses sales opportunity.</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Warn rep; allow with manager approval</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Warn rep silently in UI; no approval gate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 judgment.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No check</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What happens today at most dealerships.</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1.3 </w:t>
      </w:r>
      <w:r>
        <w:rPr>
          <w:b/>
          <w:bCs/>
          <w:color w:val="1E3A5F"/>
          <w:sz w:val="26"/>
          <w:szCs w:val="26"/>
        </w:rPr>
        <w:t xml:space="preserve">— One-time exception authority</w:t>
      </w:r>
    </w:p>
    <w:p>
      <w:pPr>
        <w:spacing w:after="120"/>
      </w:pPr>
      <w:r>
        <w:rPr>
          <w:b/>
          <w:bCs/>
          <w:color w:val="1A1A1A"/>
          <w:sz w:val="22"/>
          <w:szCs w:val="22"/>
        </w:rPr>
        <w:t xml:space="preserve">Question: </w:t>
      </w:r>
      <w:r>
        <w:rPr>
          <w:color w:val="1A1A1A"/>
          <w:sz w:val="22"/>
          <w:szCs w:val="22"/>
        </w:rPr>
        <w:t xml:space="preserve">Who can grant a one-time credit exception (e.g., approve a quote for an over-limit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Finance / Controller only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 authority.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Slowest.</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Owner only</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Bottleneck risk.</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Finance or VP Sales, with logging</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Any manager</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Loose.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Risk of rep-shopping the exception.</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1.4 </w:t>
      </w:r>
      <w:r>
        <w:rPr>
          <w:b/>
          <w:bCs/>
          <w:color w:val="1E3A5F"/>
          <w:sz w:val="26"/>
          <w:szCs w:val="26"/>
        </w:rPr>
        <w:t xml:space="preserve">— Customer tiers</w:t>
      </w:r>
    </w:p>
    <w:p>
      <w:pPr>
        <w:spacing w:after="120"/>
      </w:pPr>
      <w:r>
        <w:rPr>
          <w:b/>
          <w:bCs/>
          <w:color w:val="1A1A1A"/>
          <w:sz w:val="22"/>
          <w:szCs w:val="22"/>
        </w:rPr>
        <w:t xml:space="preserve">Question: </w:t>
      </w:r>
      <w:r>
        <w:rPr>
          <w:color w:val="1A1A1A"/>
          <w:sz w:val="22"/>
          <w:szCs w:val="22"/>
        </w:rPr>
        <w:t xml:space="preserve">Do you operate customer tiers (Platinum / Gold / Standard / Cash-only / Prospect, etc.), and do they unlock different pricing or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No tiers — all customers treated equal</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Simple.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Misses loyalty revenue.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Tiers exist informally (rep tribal knowledge)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Current state.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Unmeasurable.</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Formal tiers tied to pricing</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Overlaps Tier 1 Decision Point 1.2.</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Formal tiers tied to pricing AND terms (payment days, deposit %, etc.)</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Most comprehensive.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w:t>
      </w:r>
    </w:p>
    <w:p>
      <w:pPr>
        <w:spacing w:after="120"/>
      </w:pPr>
      <w:r>
        <w:rPr>
          <w:color w:val="1A1A1A"/>
          <w:sz w:val="22"/>
          <w:szCs w:val="22"/>
        </w:rPr>
        <w:t xml:space="preserve">Provide tier definitions: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880"/>
        <w:gridCol w:w="1880"/>
        <w:gridCol w:w="1840"/>
      </w:tblGrid>
      <w:tr>
        <w:trPr>
          <w:tblHeader/>
        </w:trPr>
        <w:tc>
          <w:tcPr>
            <w:tcW w:type="dxa" w:w="18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Tier name</w:t>
            </w:r>
          </w:p>
        </w:tc>
        <w:tc>
          <w:tcPr>
            <w:tcW w:type="dxa" w:w="18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Discount eligibility</w:t>
            </w:r>
          </w:p>
        </w:tc>
        <w:tc>
          <w:tcPr>
            <w:tcW w:type="dxa" w:w="18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Payment terms (net days)</w:t>
            </w:r>
          </w:p>
        </w:tc>
        <w:tc>
          <w:tcPr>
            <w:tcW w:type="dxa" w:w="18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Deposit %</w:t>
            </w:r>
          </w:p>
        </w:tc>
        <w:tc>
          <w:tcPr>
            <w:tcW w:type="dxa" w:w="184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Credit limit policy</w:t>
            </w:r>
          </w:p>
        </w:tc>
      </w:tr>
      <w:tr>
        <w:trPr>
          <w:tblHeader w:val="false"/>
        </w:trPr>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Platinum</w:t>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4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Gold</w:t>
            </w:r>
          </w:p>
        </w:tc>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4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Standard</w:t>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4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Cash-only</w:t>
            </w:r>
          </w:p>
        </w:tc>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4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Prospect / new</w:t>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4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1.5 </w:t>
      </w:r>
      <w:r>
        <w:rPr>
          <w:b/>
          <w:bCs/>
          <w:color w:val="1E3A5F"/>
          <w:sz w:val="26"/>
          <w:szCs w:val="26"/>
        </w:rPr>
        <w:t xml:space="preserve">— Cash vs. financed deal pricing</w:t>
      </w:r>
    </w:p>
    <w:p>
      <w:pPr>
        <w:spacing w:after="120"/>
      </w:pPr>
      <w:r>
        <w:rPr>
          <w:b/>
          <w:bCs/>
          <w:color w:val="1A1A1A"/>
          <w:sz w:val="22"/>
          <w:szCs w:val="22"/>
        </w:rPr>
        <w:t xml:space="preserve">Question: </w:t>
      </w:r>
      <w:r>
        <w:rPr>
          <w:color w:val="1A1A1A"/>
          <w:sz w:val="22"/>
          <w:szCs w:val="22"/>
        </w:rPr>
        <w:t xml:space="preserve">Do cash deals and financed deals have different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Same price regardless of payment method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Cash discount (e.g., 1–2% off list)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Common practice. Incentivizes cash.</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Financed deals carry a “finance fee” hidden in margin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Recovers cost of dealer-arranged financing.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Different pricing only when manufacturer financing program is involved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Reflects subvention reality.</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1.6 </w:t>
      </w:r>
      <w:r>
        <w:rPr>
          <w:b/>
          <w:bCs/>
          <w:color w:val="1E3A5F"/>
          <w:sz w:val="26"/>
          <w:szCs w:val="26"/>
        </w:rPr>
        <w:t xml:space="preserve">— Tax-exempt and government customers</w:t>
      </w:r>
    </w:p>
    <w:p>
      <w:pPr>
        <w:spacing w:after="120"/>
      </w:pPr>
      <w:r>
        <w:rPr>
          <w:b/>
          <w:bCs/>
          <w:color w:val="1A1A1A"/>
          <w:sz w:val="22"/>
          <w:szCs w:val="22"/>
        </w:rPr>
        <w:t xml:space="preserve">Question: </w:t>
      </w:r>
      <w:r>
        <w:rPr>
          <w:color w:val="1A1A1A"/>
          <w:sz w:val="22"/>
          <w:szCs w:val="22"/>
        </w:rPr>
        <w:t xml:space="preserve">Tax-exempt customers (government, agriculture, non-profit). When is proof of exemption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At quote time (cannot quote without certificate on file)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Safest.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Slows new exempt customers.</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At order time (quote can proceed; certificate required before invoice)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At delivery / invoicing only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Loosest.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Audit risk.</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p>
      <w:pPr>
        <w:spacing w:after="120"/>
      </w:pPr>
      <w:r>
        <w:rPr>
          <w:i/>
          <w:iCs/>
          <w:color w:val="1A1A1A"/>
          <w:sz w:val="22"/>
          <w:szCs w:val="22"/>
        </w:rPr>
        <w:t xml:space="preserve">Where does the exemption certificate live? Customer record attachment / Order record attachment / Both / Other. Note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4. Decision Points — Cluster B: Equipment &amp; Parts Selection</w:t>
      </w:r>
    </w:p>
    <w:p>
      <w:pPr>
        <w:spacing w:after="80" w:before="240"/>
      </w:pPr>
      <w:r>
        <w:rPr>
          <w:b/>
          <w:bCs/>
          <w:color w:val="1E3A5F"/>
          <w:sz w:val="26"/>
          <w:szCs w:val="26"/>
        </w:rPr>
        <w:t xml:space="preserve">Decision Point 2.1 </w:t>
      </w:r>
      <w:r>
        <w:rPr>
          <w:b/>
          <w:bCs/>
          <w:color w:val="1E3A5F"/>
          <w:sz w:val="26"/>
          <w:szCs w:val="26"/>
        </w:rPr>
        <w:t xml:space="preserve">— Used equipment appraisal source</w:t>
      </w:r>
    </w:p>
    <w:p>
      <w:pPr>
        <w:spacing w:after="120"/>
      </w:pPr>
      <w:r>
        <w:rPr>
          <w:b/>
          <w:bCs/>
          <w:color w:val="1A1A1A"/>
          <w:sz w:val="22"/>
          <w:szCs w:val="22"/>
        </w:rPr>
        <w:t xml:space="preserve">Question: </w:t>
      </w:r>
      <w:r>
        <w:rPr>
          <w:color w:val="1A1A1A"/>
          <w:sz w:val="22"/>
          <w:szCs w:val="22"/>
        </w:rPr>
        <w:t xml:space="preserve">How is used equipment appraised before it lands on a quote (sale unit or trade-in)?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Internal appraisal by Used Equipment Manager (UEM)</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Fastest.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Subjective.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Reference source required (Sandhills, Black Book, Iron Planet, IronGuides)</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Defensible.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Subscription cost.</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Internal + reference required for trades over $X</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 Combines speed and defensibility.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AI-assisted (computer vision condition + reference lookup)</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Aspirational.</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Phase 2 feature.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C with $25,000 threshold (matches Tier 1 Decision Point 1.5).</w:t>
      </w:r>
    </w:p>
    <w:p>
      <w:pPr>
        <w:spacing w:after="120"/>
      </w:pPr>
      <w:r>
        <w:rPr>
          <w:i/>
          <w:iCs/>
          <w:color w:val="1A1A1A"/>
          <w:sz w:val="22"/>
          <w:szCs w:val="22"/>
        </w:rPr>
        <w:t xml:space="preserve">Which reference source do you currently subscribe to? Provide credentials/access for integration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2.2 </w:t>
      </w:r>
      <w:r>
        <w:rPr>
          <w:b/>
          <w:bCs/>
          <w:color w:val="1E3A5F"/>
          <w:sz w:val="26"/>
          <w:szCs w:val="26"/>
        </w:rPr>
        <w:t xml:space="preserve">— Stock unit lock mechanism (used equipment)</w:t>
      </w:r>
    </w:p>
    <w:p>
      <w:pPr>
        <w:spacing w:after="120"/>
      </w:pPr>
      <w:r>
        <w:rPr>
          <w:b/>
          <w:bCs/>
          <w:color w:val="1A1A1A"/>
          <w:sz w:val="22"/>
          <w:szCs w:val="22"/>
        </w:rPr>
        <w:t xml:space="preserve">Question: </w:t>
      </w:r>
      <w:r>
        <w:rPr>
          <w:color w:val="1A1A1A"/>
          <w:sz w:val="22"/>
          <w:szCs w:val="22"/>
        </w:rPr>
        <w:t xml:space="preserve">When a rep adds a specific used stock unit (with a serial number) to a quote, when is that unit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Same as new equipment (soft hold at draft, hard hold at acceptance)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Consistent.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Used equipment requires immediate hard hold at draft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Used inventory is one-of-a-kind; risk of double-quoting is higher.</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Hard hold at draft AND requires UEM approval to release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conservative.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UEM becomes bottleneck.</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used; consistent with Tier 2 for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2.3 </w:t>
      </w:r>
      <w:r>
        <w:rPr>
          <w:b/>
          <w:bCs/>
          <w:color w:val="1E3A5F"/>
          <w:sz w:val="26"/>
          <w:szCs w:val="26"/>
        </w:rPr>
        <w:t xml:space="preserve">— Reconditioning cost capture</w:t>
      </w:r>
    </w:p>
    <w:p>
      <w:pPr>
        <w:spacing w:after="120"/>
      </w:pPr>
      <w:r>
        <w:rPr>
          <w:b/>
          <w:bCs/>
          <w:color w:val="1A1A1A"/>
          <w:sz w:val="22"/>
          <w:szCs w:val="22"/>
        </w:rPr>
        <w:t xml:space="preserve">Question: </w:t>
      </w:r>
      <w:r>
        <w:rPr>
          <w:color w:val="1A1A1A"/>
          <w:sz w:val="22"/>
          <w:szCs w:val="22"/>
        </w:rPr>
        <w:t xml:space="preserve">Used equipment often needs reconditioning before sale. How is recon cost captured against the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Captured in ERP, not visible in QEP OS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Disconnects margin calculation.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Captured in QEP OS at intake; rolls into landed cost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Margin floor computes against true cost.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Captured in QEP OS at sale; subtracted from gross margin at conversion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Backwards.</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Hides true margin during pricing.</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2.4 </w:t>
      </w:r>
      <w:r>
        <w:rPr>
          <w:b/>
          <w:bCs/>
          <w:color w:val="1E3A5F"/>
          <w:sz w:val="26"/>
          <w:szCs w:val="26"/>
        </w:rPr>
        <w:t xml:space="preserve">— Equipment substitution suggestions</w:t>
      </w:r>
    </w:p>
    <w:p>
      <w:pPr>
        <w:spacing w:after="120"/>
      </w:pPr>
      <w:r>
        <w:rPr>
          <w:b/>
          <w:bCs/>
          <w:color w:val="1A1A1A"/>
          <w:sz w:val="22"/>
          <w:szCs w:val="22"/>
        </w:rPr>
        <w:t xml:space="preserve">Question: </w:t>
      </w:r>
      <w:r>
        <w:rPr>
          <w:color w:val="1A1A1A"/>
          <w:sz w:val="22"/>
          <w:szCs w:val="22"/>
        </w:rPr>
        <w:t xml:space="preserve">Rep quotes a 5T forklift. You only have 6T in stock. Should the system suggest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No — rep researches alternatives manually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Current state.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Suggest substitutes from in-stock inventory within ±25% spec</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Suggest substitutes including incoming inventory (PO not yet received)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More aggressive.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Risk of quoting equipment that never arrives.</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Suggest substitutes including used equipment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Cross-sells used into new quotes.</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Phase 1; D as a follow-up after used inventory data is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2.5 </w:t>
      </w:r>
      <w:r>
        <w:rPr>
          <w:b/>
          <w:bCs/>
          <w:color w:val="1E3A5F"/>
          <w:sz w:val="26"/>
          <w:szCs w:val="26"/>
        </w:rPr>
        <w:t xml:space="preserve">— Parts kit ownership</w:t>
      </w:r>
    </w:p>
    <w:p>
      <w:pPr>
        <w:spacing w:after="120"/>
      </w:pPr>
      <w:r>
        <w:rPr>
          <w:b/>
          <w:bCs/>
          <w:color w:val="1A1A1A"/>
          <w:sz w:val="22"/>
          <w:szCs w:val="22"/>
        </w:rPr>
        <w:t xml:space="preserve">Question: </w:t>
      </w:r>
      <w:r>
        <w:rPr>
          <w:color w:val="1A1A1A"/>
          <w:sz w:val="22"/>
          <w:szCs w:val="22"/>
        </w:rPr>
        <w:t xml:space="preserve">Pre-defined parts kits (e.g., “50-hour service kit for X model”) — who owns the kit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Parts Manager owns; reps choose from catalog only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 data.</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Reps inflexible.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Parts Manager owns standard kits; reps can build one-off kits per quote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Anyone can build kits; Parts Manager curates later</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Chaotic.</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2.6 </w:t>
      </w:r>
      <w:r>
        <w:rPr>
          <w:b/>
          <w:bCs/>
          <w:color w:val="1E3A5F"/>
          <w:sz w:val="26"/>
          <w:szCs w:val="26"/>
        </w:rPr>
        <w:t xml:space="preserve">— Discontinued / superseded parts on open quotes</w:t>
      </w:r>
    </w:p>
    <w:p>
      <w:pPr>
        <w:spacing w:after="120"/>
      </w:pPr>
      <w:r>
        <w:rPr>
          <w:b/>
          <w:bCs/>
          <w:color w:val="1A1A1A"/>
          <w:sz w:val="22"/>
          <w:szCs w:val="22"/>
        </w:rPr>
        <w:t xml:space="preserve">Question: </w:t>
      </w:r>
      <w:r>
        <w:rPr>
          <w:color w:val="1A1A1A"/>
          <w:sz w:val="22"/>
          <w:szCs w:val="22"/>
        </w:rPr>
        <w:t xml:space="preserve">A part on an open quote is discontinued by the manufacturer (or superseded by a new part number).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Auto-substitute to the new part number; alert rep</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 Customer-facing PDF references the substitute.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Quote flagged for rep review; line removed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Conservative.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Quote remains valid; rep figures it out at order time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Risky.</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5. Decision Points — Cluster C: Rental &amp; Subscription Quotes</w:t>
      </w:r>
    </w:p>
    <w:p>
      <w:pPr>
        <w:spacing w:after="80" w:before="240"/>
      </w:pPr>
      <w:r>
        <w:rPr>
          <w:b/>
          <w:bCs/>
          <w:color w:val="1E3A5F"/>
          <w:sz w:val="26"/>
          <w:szCs w:val="26"/>
        </w:rPr>
        <w:t xml:space="preserve">Decision Point 3.1 </w:t>
      </w:r>
      <w:r>
        <w:rPr>
          <w:b/>
          <w:bCs/>
          <w:color w:val="1E3A5F"/>
          <w:sz w:val="26"/>
          <w:szCs w:val="26"/>
        </w:rPr>
        <w:t xml:space="preserve">— Rate structure</w:t>
      </w:r>
    </w:p>
    <w:p>
      <w:pPr>
        <w:spacing w:after="120"/>
      </w:pPr>
      <w:r>
        <w:rPr>
          <w:b/>
          <w:bCs/>
          <w:color w:val="1A1A1A"/>
          <w:sz w:val="22"/>
          <w:szCs w:val="22"/>
        </w:rPr>
        <w:t xml:space="preserve">Question: </w:t>
      </w:r>
      <w:r>
        <w:rPr>
          <w:color w:val="1A1A1A"/>
          <w:sz w:val="22"/>
          <w:szCs w:val="22"/>
        </w:rPr>
        <w:t xml:space="preserve">How do you publish rental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Daily / weekly / monthly schedule per equipment category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Standard.</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Same + blended rate option (long-term rentals at a per-month blended rate)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Per-unit rates (each stock unit has its own rate)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granular.</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maintenance.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Dynamic pricing (utilization-based)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Aspirational.</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Phase 3 feature.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Phase 1; D as a Phase 3 moonshot.</w:t>
      </w:r>
    </w:p>
    <w:p>
      <w:pPr>
        <w:spacing w:after="120"/>
      </w:pPr>
      <w:r>
        <w:rPr>
          <w:color w:val="1A1A1A"/>
          <w:sz w:val="22"/>
          <w:szCs w:val="22"/>
        </w:rPr>
        <w:t xml:space="preserve">Provide your current rate sheet for top 5 rental categories: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Category</w:t>
            </w:r>
          </w:p>
        </w:tc>
        <w:tc>
          <w:tcPr>
            <w:tcW w:type="dxa" w:w="175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Daily</w:t>
            </w:r>
          </w:p>
        </w:tc>
        <w:tc>
          <w:tcPr>
            <w:tcW w:type="dxa" w:w="175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Weekly</w:t>
            </w:r>
          </w:p>
        </w:tc>
        <w:tc>
          <w:tcPr>
            <w:tcW w:type="dxa" w:w="175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Monthly</w:t>
            </w:r>
          </w:p>
        </w:tc>
        <w:tc>
          <w:tcPr>
            <w:tcW w:type="dxa" w:w="175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Blended (3mo+)</w:t>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Skid steers</w:t>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Compact track loaders</w:t>
            </w:r>
          </w:p>
        </w:tc>
        <w:tc>
          <w:tcPr>
            <w:tcW w:type="dxa" w:w="175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Mini-excavators</w:t>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Telehandlers</w:t>
            </w:r>
          </w:p>
        </w:tc>
        <w:tc>
          <w:tcPr>
            <w:tcW w:type="dxa" w:w="175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Wheel loaders</w:t>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5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3.2 </w:t>
      </w:r>
      <w:r>
        <w:rPr>
          <w:b/>
          <w:bCs/>
          <w:color w:val="1E3A5F"/>
          <w:sz w:val="26"/>
          <w:szCs w:val="26"/>
        </w:rPr>
        <w:t xml:space="preserve">— Minimum rental, auto-extend, early-return</w:t>
      </w:r>
    </w:p>
    <w:p>
      <w:pPr>
        <w:spacing w:after="120"/>
      </w:pPr>
      <w:r>
        <w:rPr>
          <w:b/>
          <w:bCs/>
          <w:color w:val="1A1A1A"/>
          <w:sz w:val="22"/>
          <w:szCs w:val="22"/>
        </w:rPr>
        <w:t xml:space="preserve">Question: </w:t>
      </w:r>
      <w:r>
        <w:rPr>
          <w:color w:val="1A1A1A"/>
          <w:sz w:val="22"/>
          <w:szCs w:val="22"/>
        </w:rPr>
        <w:t xml:space="preserve">Default rental terms.</w:t>
      </w:r>
    </w:p>
    <w:p>
      <w:pPr>
        <w:shd w:fill="EEF3F8" w:color="auto" w:val="clear"/>
        <w:spacing w:after="120"/>
      </w:pPr>
      <w:r>
        <w:rPr>
          <w:b/>
          <w:bCs/>
          <w:color w:val="1E3A5F"/>
          <w:sz w:val="22"/>
          <w:szCs w:val="22"/>
        </w:rPr>
        <w:t xml:space="preserve">Recommended starting point: </w:t>
      </w:r>
      <w:r>
        <w:rPr>
          <w:i/>
          <w:iCs/>
          <w:color w:val="1A1A1A"/>
          <w:sz w:val="22"/>
          <w:szCs w:val="22"/>
        </w:rPr>
        <w:t xml:space="preserve">Use the sample policy below as a starting point; amend in your answer box.</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Term</w:t>
            </w:r>
          </w:p>
        </w:tc>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Sample policy</w:t>
            </w:r>
          </w:p>
        </w:tc>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Your policy</w:t>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Minimum rental period</w:t>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1 day</w:t>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Auto-extend if not returned by end date</w:t>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Yes — charged at daily rate until returned</w:t>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Early-return refund</w:t>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Pro-rated minus 1-day fee</w:t>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Notice required to return</w:t>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None (drop off any time)</w:t>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3.3 </w:t>
      </w:r>
      <w:r>
        <w:rPr>
          <w:b/>
          <w:bCs/>
          <w:color w:val="1E3A5F"/>
          <w:sz w:val="26"/>
          <w:szCs w:val="26"/>
        </w:rPr>
        <w:t xml:space="preserve">— Damage waiver, insurance, operator, fuel</w:t>
      </w:r>
    </w:p>
    <w:p>
      <w:pPr>
        <w:spacing w:after="120"/>
      </w:pPr>
      <w:r>
        <w:rPr>
          <w:b/>
          <w:bCs/>
          <w:color w:val="1A1A1A"/>
          <w:sz w:val="22"/>
          <w:szCs w:val="22"/>
        </w:rPr>
        <w:t xml:space="preserve">Question: </w:t>
      </w:r>
      <w:r>
        <w:rPr>
          <w:color w:val="1A1A1A"/>
          <w:sz w:val="22"/>
          <w:szCs w:val="22"/>
        </w:rPr>
        <w:t xml:space="preserve">Which of these are required vs. optional vs. customer-supplied?</w:t>
      </w:r>
    </w:p>
    <w:p>
      <w:pPr>
        <w:shd w:fill="EEF3F8" w:color="auto" w:val="clear"/>
        <w:spacing w:after="120"/>
      </w:pPr>
      <w:r>
        <w:rPr>
          <w:b/>
          <w:bCs/>
          <w:color w:val="1E3A5F"/>
          <w:sz w:val="22"/>
          <w:szCs w:val="22"/>
        </w:rPr>
        <w:t xml:space="preserve">Recommended starting point: </w:t>
      </w:r>
      <w:r>
        <w:rPr>
          <w:i/>
          <w:iCs/>
          <w:color w:val="1A1A1A"/>
          <w:sz w:val="22"/>
          <w:szCs w:val="22"/>
        </w:rPr>
        <w:t xml:space="preserve">Sample policy: damage waiver = optional but heavily upsold; liability insurance = required (customer-supplied OK with proof); operator = optional; fuel = full-to-full; delivery = optional, mileage-based pricing. Fill the table below with your policy.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60"/>
        <w:gridCol w:w="1760"/>
        <w:gridCol w:w="1760"/>
        <w:gridCol w:w="1720"/>
      </w:tblGrid>
      <w:tr>
        <w:trPr>
          <w:tblHeader/>
        </w:trPr>
        <w:tc>
          <w:tcPr>
            <w:tcW w:type="dxa" w:w="23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Add-on</w:t>
            </w:r>
          </w:p>
        </w:tc>
        <w:tc>
          <w:tcPr>
            <w:tcW w:type="dxa" w:w="17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Required</w:t>
            </w:r>
          </w:p>
        </w:tc>
        <w:tc>
          <w:tcPr>
            <w:tcW w:type="dxa" w:w="17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Optional</w:t>
            </w:r>
          </w:p>
        </w:tc>
        <w:tc>
          <w:tcPr>
            <w:tcW w:type="dxa" w:w="17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Customer-supplied</w:t>
            </w:r>
          </w:p>
        </w:tc>
        <w:tc>
          <w:tcPr>
            <w:tcW w:type="dxa" w:w="17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Pricing</w:t>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Damage waiver</w:t>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Liability insurance</w:t>
            </w:r>
          </w:p>
        </w:tc>
        <w:tc>
          <w:tcPr>
            <w:tcW w:type="dxa" w:w="1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Operator</w:t>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Fuel (delivered full, returned full?)</w:t>
            </w:r>
          </w:p>
        </w:tc>
        <w:tc>
          <w:tcPr>
            <w:tcW w:type="dxa" w:w="1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7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Delivery / pickup</w:t>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3.4 </w:t>
      </w:r>
      <w:r>
        <w:rPr>
          <w:b/>
          <w:bCs/>
          <w:color w:val="1E3A5F"/>
          <w:sz w:val="26"/>
          <w:szCs w:val="26"/>
        </w:rPr>
        <w:t xml:space="preserve">— Pickup/delivery scheduling integration</w:t>
      </w:r>
    </w:p>
    <w:p>
      <w:pPr>
        <w:spacing w:after="120"/>
      </w:pPr>
      <w:r>
        <w:rPr>
          <w:b/>
          <w:bCs/>
          <w:color w:val="1A1A1A"/>
          <w:sz w:val="22"/>
          <w:szCs w:val="22"/>
        </w:rPr>
        <w:t xml:space="preserve">Question: </w:t>
      </w:r>
      <w:r>
        <w:rPr>
          <w:color w:val="1A1A1A"/>
          <w:sz w:val="22"/>
          <w:szCs w:val="22"/>
        </w:rPr>
        <w:t xml:space="preserve">When a rental quote is built with delivery, how does scheduling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Free-text “preferred date” field; ops schedules separately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Current state at most dealerships.</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Quote includes proposed delivery window; ops confirms before quote sends</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Real-time calendar integration (ops calendar visible in quote builder)</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accurate.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Largest integration scope.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Phase 1; C in a later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3.5 </w:t>
      </w:r>
      <w:r>
        <w:rPr>
          <w:b/>
          <w:bCs/>
          <w:color w:val="1E3A5F"/>
          <w:sz w:val="26"/>
          <w:szCs w:val="26"/>
        </w:rPr>
        <w:t xml:space="preserve">— Maintenance responsibility during rental</w:t>
      </w:r>
    </w:p>
    <w:p>
      <w:pPr>
        <w:spacing w:after="120"/>
      </w:pPr>
      <w:r>
        <w:rPr>
          <w:b/>
          <w:bCs/>
          <w:color w:val="1A1A1A"/>
          <w:sz w:val="22"/>
          <w:szCs w:val="22"/>
        </w:rPr>
        <w:t xml:space="preserve">Question: </w:t>
      </w:r>
      <w:r>
        <w:rPr>
          <w:color w:val="1A1A1A"/>
          <w:sz w:val="22"/>
          <w:szCs w:val="22"/>
        </w:rPr>
        <w:t xml:space="preserve">Who handles maintenance and repair during a rental?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Dealer handles all routine and breakdown maintenance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Premium offering.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Customer handles routine; dealer handles breakdowns</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Standard.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Customer handles everything</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Cheapest.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Worst for equipment longevity.</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Per-rental-tier (premium = A, standard = B)</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3.6 </w:t>
      </w:r>
      <w:r>
        <w:rPr>
          <w:b/>
          <w:bCs/>
          <w:color w:val="1E3A5F"/>
          <w:sz w:val="26"/>
          <w:szCs w:val="26"/>
        </w:rPr>
        <w:t xml:space="preserve">— Rental-to-own / buyout pricing</w:t>
      </w:r>
    </w:p>
    <w:p>
      <w:pPr>
        <w:spacing w:after="120"/>
      </w:pPr>
      <w:r>
        <w:rPr>
          <w:b/>
          <w:bCs/>
          <w:color w:val="1A1A1A"/>
          <w:sz w:val="22"/>
          <w:szCs w:val="22"/>
        </w:rPr>
        <w:t xml:space="preserve">Question: </w:t>
      </w:r>
      <w:r>
        <w:rPr>
          <w:color w:val="1A1A1A"/>
          <w:sz w:val="22"/>
          <w:szCs w:val="22"/>
        </w:rPr>
        <w:t xml:space="preserve">Customer wants to buy the unit they’ve been renting. How is the buyout priced?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Current used market value, no rental credit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Best dealer margin.</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 dissatisfaction.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Used market value minus X% of paid rent (X = 50% typical)</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Industry-standard.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Original purchase price minus accumulated depreciation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 accounting.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May undersell.</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Negotiated per deal</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Inconsistent.</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with X = 50% as the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6. Decision Points — Cluster D: Service, Parts &amp; Attached Offerings</w:t>
      </w:r>
    </w:p>
    <w:p>
      <w:pPr>
        <w:spacing w:after="80" w:before="240"/>
      </w:pPr>
      <w:r>
        <w:rPr>
          <w:b/>
          <w:bCs/>
          <w:color w:val="1E3A5F"/>
          <w:sz w:val="26"/>
          <w:szCs w:val="26"/>
        </w:rPr>
        <w:t xml:space="preserve">Decision Point 4.1 </w:t>
      </w:r>
      <w:r>
        <w:rPr>
          <w:b/>
          <w:bCs/>
          <w:color w:val="1E3A5F"/>
          <w:sz w:val="26"/>
          <w:szCs w:val="26"/>
        </w:rPr>
        <w:t xml:space="preserve">— Service plans attached at quote</w:t>
      </w:r>
    </w:p>
    <w:p>
      <w:pPr>
        <w:spacing w:after="120"/>
      </w:pPr>
      <w:r>
        <w:rPr>
          <w:b/>
          <w:bCs/>
          <w:color w:val="1A1A1A"/>
          <w:sz w:val="22"/>
          <w:szCs w:val="22"/>
        </w:rPr>
        <w:t xml:space="preserve">Question: </w:t>
      </w:r>
      <w:r>
        <w:rPr>
          <w:color w:val="1A1A1A"/>
          <w:sz w:val="22"/>
          <w:szCs w:val="22"/>
        </w:rPr>
        <w:t xml:space="preserve">When a rep quotes new equipment, should a service plan be auto-attached as an optional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No — service plans sold separately post-delivery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Current state.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Lost attach revenue.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Auto-attached as optional; rep can remove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Mandatory line — customer must explicitly decline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Aggressive upsell.</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p>
      <w:pPr>
        <w:spacing w:after="120"/>
      </w:pPr>
      <w:r>
        <w:rPr>
          <w:color w:val="1A1A1A"/>
          <w:sz w:val="22"/>
          <w:szCs w:val="22"/>
        </w:rPr>
        <w:t xml:space="preserve">Provide your service plan offerings: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000"/>
        <w:gridCol w:w="2000"/>
        <w:gridCol w:w="2000"/>
      </w:tblGrid>
      <w:tr>
        <w:trPr>
          <w:tblHeader/>
        </w:trPr>
        <w:tc>
          <w:tcPr>
            <w:tcW w:type="dxa" w:w="23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Plan name</w:t>
            </w:r>
          </w:p>
        </w:tc>
        <w:tc>
          <w:tcPr>
            <w:tcW w:type="dxa" w:w="30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Coverage</w:t>
            </w:r>
          </w:p>
        </w:tc>
        <w:tc>
          <w:tcPr>
            <w:tcW w:type="dxa" w:w="20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Duration</w:t>
            </w:r>
          </w:p>
        </w:tc>
        <w:tc>
          <w:tcPr>
            <w:tcW w:type="dxa" w:w="20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Price (% of unit price OR fixed)</w:t>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30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0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0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30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0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0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30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0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0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4.2 </w:t>
      </w:r>
      <w:r>
        <w:rPr>
          <w:b/>
          <w:bCs/>
          <w:color w:val="1E3A5F"/>
          <w:sz w:val="26"/>
          <w:szCs w:val="26"/>
        </w:rPr>
        <w:t xml:space="preserve">— Parts kit auto-suggestions</w:t>
      </w:r>
    </w:p>
    <w:p>
      <w:pPr>
        <w:spacing w:after="120"/>
      </w:pPr>
      <w:r>
        <w:rPr>
          <w:b/>
          <w:bCs/>
          <w:color w:val="1A1A1A"/>
          <w:sz w:val="22"/>
          <w:szCs w:val="22"/>
        </w:rPr>
        <w:t xml:space="preserve">Question: </w:t>
      </w:r>
      <w:r>
        <w:rPr>
          <w:color w:val="1A1A1A"/>
          <w:sz w:val="22"/>
          <w:szCs w:val="22"/>
        </w:rPr>
        <w:t xml:space="preserve">When new equipment is added to a quote, should the standard service-interval parts kits auto-suggest?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No</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Current state.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Suggest first-service kit (typically 50-hour) as optional line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Suggest first-service AND major-service kits (250hr, 500hr, 1000hr) as bundle option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Strongest attach.</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May be overkill at quote time.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Phase 1; C as a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4.3 </w:t>
      </w:r>
      <w:r>
        <w:rPr>
          <w:b/>
          <w:bCs/>
          <w:color w:val="1E3A5F"/>
          <w:sz w:val="26"/>
          <w:szCs w:val="26"/>
        </w:rPr>
        <w:t xml:space="preserve">— Warranty extension upsell</w:t>
      </w:r>
    </w:p>
    <w:p>
      <w:pPr>
        <w:spacing w:after="120"/>
      </w:pPr>
      <w:r>
        <w:rPr>
          <w:b/>
          <w:bCs/>
          <w:color w:val="1A1A1A"/>
          <w:sz w:val="22"/>
          <w:szCs w:val="22"/>
        </w:rPr>
        <w:t xml:space="preserve">Question: </w:t>
      </w:r>
      <w:r>
        <w:rPr>
          <w:color w:val="1A1A1A"/>
          <w:sz w:val="22"/>
          <w:szCs w:val="22"/>
        </w:rPr>
        <w:t xml:space="preserve">Manufacturer warranties are standard. Should QEP OS surface warranty extensions as optional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No</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Lost revenue.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Surface as optional; rep can omit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Mandatory mention — customer must explicitly decline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Aggressive.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p>
      <w:pPr>
        <w:spacing w:after="120"/>
      </w:pPr>
      <w:r>
        <w:rPr>
          <w:i/>
          <w:iCs/>
          <w:color w:val="1A1A1A"/>
          <w:sz w:val="22"/>
          <w:szCs w:val="22"/>
        </w:rPr>
        <w:t xml:space="preserve">Are warranty extensions manufacturer-provided or dealer-provided? Manufacturer only / Dealer-provided (third-party administrator) / Both, customer chooses / Other. Note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4.4 </w:t>
      </w:r>
      <w:r>
        <w:rPr>
          <w:b/>
          <w:bCs/>
          <w:color w:val="1E3A5F"/>
          <w:sz w:val="26"/>
          <w:szCs w:val="26"/>
        </w:rPr>
        <w:t xml:space="preserve">— Operator training as a quote line</w:t>
      </w:r>
    </w:p>
    <w:p>
      <w:pPr>
        <w:spacing w:after="120"/>
      </w:pPr>
      <w:r>
        <w:rPr>
          <w:b/>
          <w:bCs/>
          <w:color w:val="1A1A1A"/>
          <w:sz w:val="22"/>
          <w:szCs w:val="22"/>
        </w:rPr>
        <w:t xml:space="preserve">Question: </w:t>
      </w:r>
      <w:r>
        <w:rPr>
          <w:color w:val="1A1A1A"/>
          <w:sz w:val="22"/>
          <w:szCs w:val="22"/>
        </w:rPr>
        <w:t xml:space="preserve">Operator training on the equipment — included, paid line, or required for warranty?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Included free; mentioned in quote notes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Customer-friendly.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Lost training revenue.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Optional paid line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Captures training revenue when relevant.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Required line; customer must accept or sign declination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defensible legally.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Per-equipment-type (dangerous equipment = C; simple equipment = A)</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w:t>
      </w:r>
    </w:p>
    <w:p>
      <w:pPr>
        <w:spacing w:after="120"/>
      </w:pPr>
      <w:r>
        <w:rPr>
          <w:i/>
          <w:iCs/>
          <w:color w:val="1A1A1A"/>
          <w:sz w:val="22"/>
          <w:szCs w:val="22"/>
        </w:rPr>
        <w:t xml:space="preserve">Which equipment categories require training (Option C)? Note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7. Decision Points — Cluster E: Reporting, Commissions &amp; Analytics</w:t>
      </w:r>
    </w:p>
    <w:p>
      <w:pPr>
        <w:spacing w:after="80" w:before="240"/>
      </w:pPr>
      <w:r>
        <w:rPr>
          <w:b/>
          <w:bCs/>
          <w:color w:val="1E3A5F"/>
          <w:sz w:val="26"/>
          <w:szCs w:val="26"/>
        </w:rPr>
        <w:t xml:space="preserve">Decision Point 5.1 </w:t>
      </w:r>
      <w:r>
        <w:rPr>
          <w:b/>
          <w:bCs/>
          <w:color w:val="1E3A5F"/>
          <w:sz w:val="26"/>
          <w:szCs w:val="26"/>
        </w:rPr>
        <w:t xml:space="preserve">— Commission structure</w:t>
      </w:r>
    </w:p>
    <w:p>
      <w:pPr>
        <w:spacing w:after="120"/>
      </w:pPr>
      <w:r>
        <w:rPr>
          <w:b/>
          <w:bCs/>
          <w:color w:val="1A1A1A"/>
          <w:sz w:val="22"/>
          <w:szCs w:val="22"/>
        </w:rPr>
        <w:t xml:space="preserve">Question: </w:t>
      </w:r>
      <w:r>
        <w:rPr>
          <w:color w:val="1A1A1A"/>
          <w:sz w:val="22"/>
          <w:szCs w:val="22"/>
        </w:rPr>
        <w:t xml:space="preserve">How are rep commissions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Flat % of margin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Rewards margin, not revenue.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Flat % of revenue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Rewards volume, not margin.</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Tiered % of margin (escalator above margin floor)</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Aligns rep with dealership profit goal.</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Tiered % of margin + volume accelerator (higher % above quarterly target)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 Standard incentive structure.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w:t>
      </w:r>
    </w:p>
    <w:p>
      <w:pPr>
        <w:spacing w:after="120"/>
      </w:pPr>
      <w:r>
        <w:rPr>
          <w:color w:val="1A1A1A"/>
          <w:sz w:val="22"/>
          <w:szCs w:val="22"/>
        </w:rPr>
        <w:t xml:space="preserve">Provide the tier schedule: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Margin range</w:t>
            </w:r>
          </w:p>
        </w:tc>
        <w:tc>
          <w:tcPr>
            <w:tcW w:type="dxa" w:w="3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Commission %</w:t>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Below floor</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0% (no commission below floor)</w:t>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Floor to target</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Above target</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Volume accelerator (above quarterly $ target)</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additional % bump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5.2 </w:t>
      </w:r>
      <w:r>
        <w:rPr>
          <w:b/>
          <w:bCs/>
          <w:color w:val="1E3A5F"/>
          <w:sz w:val="26"/>
          <w:szCs w:val="26"/>
        </w:rPr>
        <w:t xml:space="preserve">— Commission timing</w:t>
      </w:r>
    </w:p>
    <w:p>
      <w:pPr>
        <w:spacing w:after="120"/>
      </w:pPr>
      <w:r>
        <w:rPr>
          <w:b/>
          <w:bCs/>
          <w:color w:val="1A1A1A"/>
          <w:sz w:val="22"/>
          <w:szCs w:val="22"/>
        </w:rPr>
        <w:t xml:space="preserve">Question: </w:t>
      </w:r>
      <w:r>
        <w:rPr>
          <w:color w:val="1A1A1A"/>
          <w:sz w:val="22"/>
          <w:szCs w:val="22"/>
        </w:rPr>
        <w:t xml:space="preserve">When does the rep actually earn 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At quote send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Encourages quote spam. Avoid.</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At customer acceptance (e-sign or PO)</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Earliest reasonable.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At delivery to customer</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Standard.</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At customer paid in full</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Most conservative.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Cash-flow-aligned.</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 Split: 50% at delivery, 50% at customer-paid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 Balances rep and dealership cash flow.</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5.3 </w:t>
      </w:r>
      <w:r>
        <w:rPr>
          <w:b/>
          <w:bCs/>
          <w:color w:val="1E3A5F"/>
          <w:sz w:val="26"/>
          <w:szCs w:val="26"/>
        </w:rPr>
        <w:t xml:space="preserve">— Commission clawback rules</w:t>
      </w:r>
    </w:p>
    <w:p>
      <w:pPr>
        <w:spacing w:after="120"/>
      </w:pPr>
      <w:r>
        <w:rPr>
          <w:b/>
          <w:bCs/>
          <w:color w:val="1A1A1A"/>
          <w:sz w:val="22"/>
          <w:szCs w:val="22"/>
        </w:rPr>
        <w:t xml:space="preserve">Question: </w:t>
      </w:r>
      <w:r>
        <w:rPr>
          <w:color w:val="1A1A1A"/>
          <w:sz w:val="22"/>
          <w:szCs w:val="22"/>
        </w:rPr>
        <w:t xml:space="preserve">Customer returns equipment, refinances elsewhere, or doesn’t pay. What happens to paid 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Clawback in full</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Safest for dealership.</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Hurts rep morale.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Clawback pro-rated by time elapsed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No clawback — dealership eats the loss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Rep-friendly.</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Expensive.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Per-scenario rules</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Most fair.</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Most policy.</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D.</w:t>
      </w:r>
    </w:p>
    <w:p>
      <w:pPr>
        <w:spacing w:after="120"/>
      </w:pPr>
      <w:r>
        <w:rPr>
          <w:color w:val="1A1A1A"/>
          <w:sz w:val="22"/>
          <w:szCs w:val="22"/>
        </w:rPr>
        <w:t xml:space="preserve">Provide per-scenario clawback policy: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Scenario</w:t>
            </w:r>
          </w:p>
        </w:tc>
        <w:tc>
          <w:tcPr>
            <w:tcW w:type="dxa" w:w="3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Clawback policy</w:t>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 returns equipment within X days</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 non-payment</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 refinances with third party</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 cancels order before delivery</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5.4 </w:t>
      </w:r>
      <w:r>
        <w:rPr>
          <w:b/>
          <w:bCs/>
          <w:color w:val="1E3A5F"/>
          <w:sz w:val="26"/>
          <w:szCs w:val="26"/>
        </w:rPr>
        <w:t xml:space="preserve">— House deal margin handling</w:t>
      </w:r>
    </w:p>
    <w:p>
      <w:pPr>
        <w:spacing w:after="120"/>
      </w:pPr>
      <w:r>
        <w:rPr>
          <w:b/>
          <w:bCs/>
          <w:color w:val="1A1A1A"/>
          <w:sz w:val="22"/>
          <w:szCs w:val="22"/>
        </w:rPr>
        <w:t xml:space="preserve">Question: </w:t>
      </w:r>
      <w:r>
        <w:rPr>
          <w:color w:val="1A1A1A"/>
          <w:sz w:val="22"/>
          <w:szCs w:val="22"/>
        </w:rPr>
        <w:t xml:space="preserve">Owner closes a deal directly (house deal — no rep). Where does the margin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All to dealership</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Owner takes a “house commission” equal to the standard rep %</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Treats owner as a rep for incentive consistency.</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Split: 50% to dealership, 50% to a “house pool” distributed to reps annually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Builds team morale.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Complex.</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5.5 </w:t>
      </w:r>
      <w:r>
        <w:rPr>
          <w:b/>
          <w:bCs/>
          <w:color w:val="1E3A5F"/>
          <w:sz w:val="26"/>
          <w:szCs w:val="26"/>
        </w:rPr>
        <w:t xml:space="preserve">— Per-rep scorecard metrics</w:t>
      </w:r>
    </w:p>
    <w:p>
      <w:pPr>
        <w:spacing w:after="120"/>
      </w:pPr>
      <w:r>
        <w:rPr>
          <w:b/>
          <w:bCs/>
          <w:color w:val="1A1A1A"/>
          <w:sz w:val="22"/>
          <w:szCs w:val="22"/>
        </w:rPr>
        <w:t xml:space="preserve">Question: </w:t>
      </w:r>
      <w:r>
        <w:rPr>
          <w:color w:val="1A1A1A"/>
          <w:sz w:val="22"/>
          <w:szCs w:val="22"/>
        </w:rPr>
        <w:t xml:space="preserve">What metrics belong on the per-rep scorecard?</w:t>
      </w:r>
    </w:p>
    <w:p>
      <w:pPr>
        <w:shd w:fill="EEF3F8" w:color="auto" w:val="clear"/>
        <w:spacing w:after="120"/>
      </w:pPr>
      <w:r>
        <w:rPr>
          <w:b/>
          <w:bCs/>
          <w:color w:val="1E3A5F"/>
          <w:sz w:val="22"/>
          <w:szCs w:val="22"/>
        </w:rPr>
        <w:t xml:space="preserve">Recommended starting point: </w:t>
      </w:r>
      <w:r>
        <w:rPr>
          <w:i/>
          <w:iCs/>
          <w:color w:val="1A1A1A"/>
          <w:sz w:val="22"/>
          <w:szCs w:val="22"/>
        </w:rPr>
        <w:t xml:space="preserve">All Y, rep sees their own; owner sees all reps side-by-side. Mark Y/N and visibility in the table.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960"/>
        <w:gridCol w:w="2720"/>
      </w:tblGrid>
      <w:tr>
        <w:trPr>
          <w:tblHeader/>
        </w:trPr>
        <w:tc>
          <w:tcPr>
            <w:tcW w:type="dxa" w:w="4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Metric</w:t>
            </w:r>
          </w:p>
        </w:tc>
        <w:tc>
          <w:tcPr>
            <w:tcW w:type="dxa" w:w="19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Include? (Y/N)</w:t>
            </w:r>
          </w:p>
        </w:tc>
        <w:tc>
          <w:tcPr>
            <w:tcW w:type="dxa" w:w="27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Owner-only / Rep also sees own</w:t>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Pipeline value</w:t>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Conversion rate (quote → order)</w:t>
            </w:r>
          </w:p>
        </w:tc>
        <w:tc>
          <w:tcPr>
            <w:tcW w:type="dxa" w:w="19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Average margin %</w:t>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Quote velocity (quotes/week)</w:t>
            </w:r>
          </w:p>
        </w:tc>
        <w:tc>
          <w:tcPr>
            <w:tcW w:type="dxa" w:w="19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Response-to-lead time (median)</w:t>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 satisfaction score</w:t>
            </w:r>
          </w:p>
        </w:tc>
        <w:tc>
          <w:tcPr>
            <w:tcW w:type="dxa" w:w="19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Re-engagement success rate</w:t>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Approval bypass usage frequency</w:t>
            </w:r>
          </w:p>
        </w:tc>
        <w:tc>
          <w:tcPr>
            <w:tcW w:type="dxa" w:w="19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Out-of-policy override frequency</w:t>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Year-over-year growth</w:t>
            </w:r>
          </w:p>
        </w:tc>
        <w:tc>
          <w:tcPr>
            <w:tcW w:type="dxa" w:w="19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Other: __________________</w:t>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7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5.6 </w:t>
      </w:r>
      <w:r>
        <w:rPr>
          <w:b/>
          <w:bCs/>
          <w:color w:val="1E3A5F"/>
          <w:sz w:val="26"/>
          <w:szCs w:val="26"/>
        </w:rPr>
        <w:t xml:space="preserve">— Owner dashboard requirements</w:t>
      </w:r>
    </w:p>
    <w:p>
      <w:pPr>
        <w:spacing w:after="120"/>
      </w:pPr>
      <w:r>
        <w:rPr>
          <w:b/>
          <w:bCs/>
          <w:color w:val="1A1A1A"/>
          <w:sz w:val="22"/>
          <w:szCs w:val="22"/>
        </w:rPr>
        <w:t xml:space="preserve">Question: </w:t>
      </w:r>
      <w:r>
        <w:rPr>
          <w:color w:val="1A1A1A"/>
          <w:sz w:val="22"/>
          <w:szCs w:val="22"/>
        </w:rPr>
        <w:t xml:space="preserve">What does the owner want to see on the dashboard at each cadence?</w:t>
      </w:r>
    </w:p>
    <w:p>
      <w:pPr>
        <w:shd w:fill="EEF3F8" w:color="auto" w:val="clear"/>
        <w:spacing w:after="120"/>
      </w:pPr>
      <w:r>
        <w:rPr>
          <w:b/>
          <w:bCs/>
          <w:color w:val="1E3A5F"/>
          <w:sz w:val="22"/>
          <w:szCs w:val="22"/>
        </w:rPr>
        <w:t xml:space="preserve">Recommended starting point: </w:t>
      </w:r>
      <w:r>
        <w:rPr>
          <w:i/>
          <w:iCs/>
          <w:color w:val="1A1A1A"/>
          <w:sz w:val="22"/>
          <w:szCs w:val="22"/>
        </w:rPr>
        <w:t xml:space="preserve">Use the sample below as a starting point; add or remove items in your answer box.</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7000"/>
      </w:tblGrid>
      <w:tr>
        <w:trPr>
          <w:tblHeader/>
        </w:trPr>
        <w:tc>
          <w:tcPr>
            <w:tcW w:type="dxa" w:w="23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Cadence</w:t>
            </w:r>
          </w:p>
        </w:tc>
        <w:tc>
          <w:tcPr>
            <w:tcW w:type="dxa" w:w="70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Metrics</w:t>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Daily glance</w:t>
            </w:r>
          </w:p>
        </w:tc>
        <w:tc>
          <w:tcPr>
            <w:tcW w:type="dxa" w:w="70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Quotes sent yesterday; conversions yesterday; top-3 anomalies (large quote, large override, large dead deal)</w:t>
            </w:r>
          </w:p>
        </w:tc>
      </w:tr>
      <w:tr>
        <w:trPr>
          <w:tblHeader w:val="false"/>
        </w:trPr>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Weekly review</w:t>
            </w:r>
          </w:p>
        </w:tc>
        <w:tc>
          <w:tcPr>
            <w:tcW w:type="dxa" w:w="70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Conversion funnel; margin variance vs. policy; rep scorecards; dead deal intel</w:t>
            </w:r>
          </w:p>
        </w:tc>
      </w:tr>
      <w:tr>
        <w:trPr>
          <w:tblHeader w:val="false"/>
        </w:trPr>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Monthly review</w:t>
            </w:r>
          </w:p>
        </w:tc>
        <w:tc>
          <w:tcPr>
            <w:tcW w:type="dxa" w:w="70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Margin trends; manufacturer rebate capture; inventory turn rate; commission accruals</w:t>
            </w:r>
          </w:p>
        </w:tc>
      </w:tr>
      <w:tr>
        <w:trPr>
          <w:tblHeader w:val="false"/>
        </w:trPr>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Quarterly review</w:t>
            </w:r>
          </w:p>
        </w:tc>
        <w:tc>
          <w:tcPr>
            <w:tcW w:type="dxa" w:w="70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YoY growth; market share trends; competitor displacement wins; training needs identified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8. Decision Points — Cluster F: Operational Edge Cases</w:t>
      </w:r>
    </w:p>
    <w:p>
      <w:pPr>
        <w:spacing w:after="80" w:before="240"/>
      </w:pPr>
      <w:r>
        <w:rPr>
          <w:b/>
          <w:bCs/>
          <w:color w:val="1E3A5F"/>
          <w:sz w:val="26"/>
          <w:szCs w:val="26"/>
        </w:rPr>
        <w:t xml:space="preserve">Decision Point 6.1 </w:t>
      </w:r>
      <w:r>
        <w:rPr>
          <w:b/>
          <w:bCs/>
          <w:color w:val="1E3A5F"/>
          <w:sz w:val="26"/>
          <w:szCs w:val="26"/>
        </w:rPr>
        <w:t xml:space="preserve">— Multi-location rules</w:t>
      </w:r>
    </w:p>
    <w:p>
      <w:pPr>
        <w:spacing w:after="120"/>
      </w:pPr>
      <w:r>
        <w:rPr>
          <w:b/>
          <w:bCs/>
          <w:color w:val="1A1A1A"/>
          <w:sz w:val="22"/>
          <w:szCs w:val="22"/>
        </w:rPr>
        <w:t xml:space="preserve">Question: </w:t>
      </w:r>
      <w:r>
        <w:rPr>
          <w:color w:val="1A1A1A"/>
          <w:sz w:val="22"/>
          <w:szCs w:val="22"/>
        </w:rPr>
        <w:t xml:space="preserve">Does QEP operate from multiple branches with different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Single location — no multi-branch rules needed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Simplest.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Multi-location, identical rules everywhere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Branding/branch tag only.</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Multi-location, some rules per branch (pricing, manufacturer allocation, etc.)</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complex.</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Pick the option that matches reality.</w:t>
      </w:r>
    </w:p>
    <w:p>
      <w:pPr>
        <w:spacing w:after="120"/>
      </w:pPr>
      <w:r>
        <w:rPr>
          <w:color w:val="1A1A1A"/>
          <w:sz w:val="22"/>
          <w:szCs w:val="22"/>
        </w:rPr>
        <w:t xml:space="preserve">If B or C, list your branches:</w:t>
      </w:r>
    </w:p>
    <w:p>
      <w:pPr>
        <w:spacing w:after="40"/>
      </w:pPr>
      <w:r>
        <w:t xml:space="preserve"/>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820"/>
        <w:gridCol w:w="2820"/>
        <w:gridCol w:w="1880"/>
        <w:gridCol w:w="1820"/>
      </w:tblGrid>
      <w:tr>
        <w:trPr>
          <w:tblHeader/>
        </w:trPr>
        <w:tc>
          <w:tcPr>
            <w:tcW w:type="dxa" w:w="28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Branch name</w:t>
            </w:r>
          </w:p>
        </w:tc>
        <w:tc>
          <w:tcPr>
            <w:tcW w:type="dxa" w:w="28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Location</w:t>
            </w:r>
          </w:p>
        </w:tc>
        <w:tc>
          <w:tcPr>
            <w:tcW w:type="dxa" w:w="18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Sales / Rental / Both</w:t>
            </w:r>
          </w:p>
        </w:tc>
        <w:tc>
          <w:tcPr>
            <w:tcW w:type="dxa" w:w="18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Distinct rules from HQ?</w:t>
            </w:r>
          </w:p>
        </w:tc>
      </w:tr>
      <w:tr>
        <w:trPr>
          <w:tblHeader w:val="false"/>
        </w:trPr>
        <w:tc>
          <w:tcPr>
            <w:tcW w:type="dxa" w:w="28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8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8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8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8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8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6.2 </w:t>
      </w:r>
      <w:r>
        <w:rPr>
          <w:b/>
          <w:bCs/>
          <w:color w:val="1E3A5F"/>
          <w:sz w:val="26"/>
          <w:szCs w:val="26"/>
        </w:rPr>
        <w:t xml:space="preserve">— Offline-at-jobsite must-work scope</w:t>
      </w:r>
    </w:p>
    <w:p>
      <w:pPr>
        <w:spacing w:after="120"/>
      </w:pPr>
      <w:r>
        <w:rPr>
          <w:b/>
          <w:bCs/>
          <w:color w:val="1A1A1A"/>
          <w:sz w:val="22"/>
          <w:szCs w:val="22"/>
        </w:rPr>
        <w:t xml:space="preserve">Question: </w:t>
      </w:r>
      <w:r>
        <w:rPr>
          <w:color w:val="1A1A1A"/>
          <w:sz w:val="22"/>
          <w:szCs w:val="22"/>
        </w:rPr>
        <w:t xml:space="preserve">Rep is at a jobsite with no signal. What MUST work in the QEP OS mobile app offline?</w:t>
      </w:r>
    </w:p>
    <w:p>
      <w:pPr>
        <w:shd w:fill="EEF3F8" w:color="auto" w:val="clear"/>
        <w:spacing w:after="120"/>
      </w:pPr>
      <w:r>
        <w:rPr>
          <w:b/>
          <w:bCs/>
          <w:color w:val="1E3A5F"/>
          <w:sz w:val="22"/>
          <w:szCs w:val="22"/>
        </w:rPr>
        <w:t xml:space="preserve">Recommended starting point: </w:t>
      </w:r>
      <w:r>
        <w:rPr>
          <w:i/>
          <w:iCs/>
          <w:color w:val="1A1A1A"/>
          <w:sz w:val="22"/>
          <w:szCs w:val="22"/>
        </w:rPr>
        <w:t xml:space="preserve">Mark Y/N per capability. Sample answer: visit log = Y, voice note = Y, draft quote = Y, view customer history = Y (cached), send to customer = N (queue for sync), update deal stage = Y (queue for sync), photos = Y (queue for sync), follow-up = Y (queue for sync), pipeline view = Y (cached).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Capability</w:t>
            </w:r>
          </w:p>
        </w:tc>
        <w:tc>
          <w:tcPr>
            <w:tcW w:type="dxa" w:w="3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Must work offline? (Y/N)</w:t>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Log a visit</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Voice-record a note</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Build a draft quote</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Send a quote to customer</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Look up customer history</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View their pipeline</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Update a deal stage</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Capture trade-in photos</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Schedule a follow-up</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6.3 </w:t>
      </w:r>
      <w:r>
        <w:rPr>
          <w:b/>
          <w:bCs/>
          <w:color w:val="1E3A5F"/>
          <w:sz w:val="26"/>
          <w:szCs w:val="26"/>
        </w:rPr>
        <w:t xml:space="preserve">— Mobile vs. desktop parity</w:t>
      </w:r>
    </w:p>
    <w:p>
      <w:pPr>
        <w:spacing w:after="120"/>
      </w:pPr>
      <w:r>
        <w:rPr>
          <w:b/>
          <w:bCs/>
          <w:color w:val="1A1A1A"/>
          <w:sz w:val="22"/>
          <w:szCs w:val="22"/>
        </w:rPr>
        <w:t xml:space="preserve">Question: </w:t>
      </w:r>
      <w:r>
        <w:rPr>
          <w:color w:val="1A1A1A"/>
          <w:sz w:val="22"/>
          <w:szCs w:val="22"/>
        </w:rPr>
        <w:t xml:space="preserve">Are there things you want to keep desktop-only by design?</w:t>
      </w:r>
    </w:p>
    <w:p>
      <w:pPr>
        <w:shd w:fill="EEF3F8" w:color="auto" w:val="clear"/>
        <w:spacing w:after="120"/>
      </w:pPr>
      <w:r>
        <w:rPr>
          <w:b/>
          <w:bCs/>
          <w:color w:val="1E3A5F"/>
          <w:sz w:val="22"/>
          <w:szCs w:val="22"/>
        </w:rPr>
        <w:t xml:space="preserve">Recommended starting point: </w:t>
      </w:r>
      <w:r>
        <w:rPr>
          <w:i/>
          <w:iCs/>
          <w:color w:val="1A1A1A"/>
          <w:sz w:val="22"/>
          <w:szCs w:val="22"/>
        </w:rPr>
        <w:t xml:space="preserve">All admin/configuration surfaces stay desktop-only. Rep-facing surfaces are mobile-first per the existing mobile-nav work.</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Capability</w:t>
            </w:r>
          </w:p>
        </w:tc>
        <w:tc>
          <w:tcPr>
            <w:tcW w:type="dxa" w:w="3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Mobile + Desktop / Desktop-only</w:t>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Multi-unit complex quote builder</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Margin Floor Gate override</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Approval bypass rule editing (owner)</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Commission reports</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 report builder</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Bulk customer import</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Manufacturer price sheet upload</w:t>
            </w:r>
          </w:p>
        </w:tc>
        <w:tc>
          <w:tcPr>
            <w:tcW w:type="dxa" w:w="3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5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Other: __________________</w:t>
            </w:r>
          </w:p>
        </w:tc>
        <w:tc>
          <w:tcPr>
            <w:tcW w:type="dxa" w:w="3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6.4 </w:t>
      </w:r>
      <w:r>
        <w:rPr>
          <w:b/>
          <w:bCs/>
          <w:color w:val="1E3A5F"/>
          <w:sz w:val="26"/>
          <w:szCs w:val="26"/>
        </w:rPr>
        <w:t xml:space="preserve">— Voice capture field scope</w:t>
      </w:r>
    </w:p>
    <w:p>
      <w:pPr>
        <w:spacing w:after="120"/>
      </w:pPr>
      <w:r>
        <w:rPr>
          <w:b/>
          <w:bCs/>
          <w:color w:val="1A1A1A"/>
          <w:sz w:val="22"/>
          <w:szCs w:val="22"/>
        </w:rPr>
        <w:t xml:space="preserve">Question: </w:t>
      </w:r>
      <w:r>
        <w:rPr>
          <w:color w:val="1A1A1A"/>
          <w:sz w:val="22"/>
          <w:szCs w:val="22"/>
        </w:rPr>
        <w:t xml:space="preserve">Which fields can a rep fill end-to-end with voice vs. require manual confirmation?</w:t>
      </w:r>
    </w:p>
    <w:p>
      <w:pPr>
        <w:shd w:fill="EEF3F8" w:color="auto" w:val="clear"/>
        <w:spacing w:after="120"/>
      </w:pPr>
      <w:r>
        <w:rPr>
          <w:b/>
          <w:bCs/>
          <w:color w:val="1E3A5F"/>
          <w:sz w:val="22"/>
          <w:szCs w:val="22"/>
        </w:rPr>
        <w:t xml:space="preserve">Recommended starting point: </w:t>
      </w:r>
      <w:r>
        <w:rPr>
          <w:i/>
          <w:iCs/>
          <w:color w:val="1A1A1A"/>
          <w:sz w:val="22"/>
          <w:szCs w:val="22"/>
        </w:rPr>
        <w:t xml:space="preserve">Free-text bodies and reasons = end-to-end. Anything with a dollar amount or that changes pricing requires a manual confirmation step (voice fills it; rep taps to confirm). Fill the table with your call.</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Field</w:t>
            </w:r>
          </w:p>
        </w:tc>
        <w:tc>
          <w:tcPr>
            <w:tcW w:type="dxa" w:w="46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Voice OK / Voice + confirm / Manual only</w:t>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Visit notes (free-text body)</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 name selection</w:t>
            </w:r>
          </w:p>
        </w:tc>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Deal stage update</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Quote line items (equipment selection)</w:t>
            </w:r>
          </w:p>
        </w:tc>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Quote line items (parts selection)</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Quote pricing override</w:t>
            </w:r>
          </w:p>
        </w:tc>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Trade-in valuation</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Loss reason on dead deal</w:t>
            </w:r>
          </w:p>
        </w:tc>
        <w:tc>
          <w:tcPr>
            <w:tcW w:type="dxa" w:w="46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Approval bypass reason</w:t>
            </w:r>
          </w:p>
        </w:tc>
        <w:tc>
          <w:tcPr>
            <w:tcW w:type="dxa" w:w="46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6.5 </w:t>
      </w:r>
      <w:r>
        <w:rPr>
          <w:b/>
          <w:bCs/>
          <w:color w:val="1E3A5F"/>
          <w:sz w:val="26"/>
          <w:szCs w:val="26"/>
        </w:rPr>
        <w:t xml:space="preserve">— HubSpot legacy data treatment</w:t>
      </w:r>
    </w:p>
    <w:p>
      <w:pPr>
        <w:spacing w:after="120"/>
      </w:pPr>
      <w:r>
        <w:rPr>
          <w:b/>
          <w:bCs/>
          <w:color w:val="1A1A1A"/>
          <w:sz w:val="22"/>
          <w:szCs w:val="22"/>
        </w:rPr>
        <w:t xml:space="preserve">Question: </w:t>
      </w:r>
      <w:r>
        <w:rPr>
          <w:color w:val="1A1A1A"/>
          <w:sz w:val="22"/>
          <w:szCs w:val="22"/>
        </w:rPr>
        <w:t xml:space="preserve">QRM Phase 1 is a HubSpot replacement. What happens to HubSpot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Full migration — all customers, deals, activities, notes ported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 customer experience.</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Largest migration effort.</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Customers + open deals migrated; activity history archived (read-only)</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Customers only; deals start fresh in QEP OS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Loses pipeline data.</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Nothing migrated; HubSpot stays as a read-only archive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Easiest.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Worst rep experience.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p>
      <w:pPr>
        <w:spacing w:after="120"/>
      </w:pPr>
      <w:r>
        <w:rPr>
          <w:i/>
          <w:iCs/>
          <w:color w:val="1A1A1A"/>
          <w:sz w:val="22"/>
          <w:szCs w:val="22"/>
        </w:rPr>
        <w:t xml:space="preserve">Cutover date target: hard cutover (HubSpot read-only as of date X) / soft cutover (parallel operation for Y weeks, then HubSpot read-only) / other. Note in your answer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6.6 </w:t>
      </w:r>
      <w:r>
        <w:rPr>
          <w:b/>
          <w:bCs/>
          <w:color w:val="1E3A5F"/>
          <w:sz w:val="26"/>
          <w:szCs w:val="26"/>
        </w:rPr>
        <w:t xml:space="preserve">— Multi-currency / multi-region planning horizon</w:t>
      </w:r>
    </w:p>
    <w:p>
      <w:pPr>
        <w:spacing w:after="120"/>
      </w:pPr>
      <w:r>
        <w:rPr>
          <w:b/>
          <w:bCs/>
          <w:color w:val="1A1A1A"/>
          <w:sz w:val="22"/>
          <w:szCs w:val="22"/>
        </w:rPr>
        <w:t xml:space="preserve">Question: </w:t>
      </w:r>
      <w:r>
        <w:rPr>
          <w:color w:val="1A1A1A"/>
          <w:sz w:val="22"/>
          <w:szCs w:val="22"/>
        </w:rPr>
        <w:t xml:space="preserve">Will QEP OS need to support non-USD pricing or non-US regional rules in the next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US-only forever</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Cleanest.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US-only for now; possibly Canada in 12–24 months</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Plan for CAD-readiness in schema; defer UI.</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US + Canada launching together</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Build for both from Day 1.</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US + Canada + Mexico</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Largest scope.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A unless you have concrete expansion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6.7 </w:t>
      </w:r>
      <w:r>
        <w:rPr>
          <w:b/>
          <w:bCs/>
          <w:color w:val="1E3A5F"/>
          <w:sz w:val="26"/>
          <w:szCs w:val="26"/>
        </w:rPr>
        <w:t xml:space="preserve">— Quote PDF language</w:t>
      </w:r>
    </w:p>
    <w:p>
      <w:pPr>
        <w:spacing w:after="120"/>
      </w:pPr>
      <w:r>
        <w:rPr>
          <w:b/>
          <w:bCs/>
          <w:color w:val="1A1A1A"/>
          <w:sz w:val="22"/>
          <w:szCs w:val="22"/>
        </w:rPr>
        <w:t xml:space="preserve">Question: </w:t>
      </w:r>
      <w:r>
        <w:rPr>
          <w:color w:val="1A1A1A"/>
          <w:sz w:val="22"/>
          <w:szCs w:val="22"/>
        </w:rPr>
        <w:t xml:space="preserve">Quote PDF language — English only, or multi-language?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English only</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Simplest.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English + Spanish per customer preference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Reflects many US dealer markets.</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English + Spanish + French (Canada)</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Tied to multi-region answer.</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A unless you have a meaningful Spanish-preferring customer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6.8 </w:t>
      </w:r>
      <w:r>
        <w:rPr>
          <w:b/>
          <w:bCs/>
          <w:color w:val="1E3A5F"/>
          <w:sz w:val="26"/>
          <w:szCs w:val="26"/>
        </w:rPr>
        <w:t xml:space="preserve">— Integration with non-IntelliDealer systems</w:t>
      </w:r>
    </w:p>
    <w:p>
      <w:pPr>
        <w:spacing w:after="120"/>
      </w:pPr>
      <w:r>
        <w:rPr>
          <w:b/>
          <w:bCs/>
          <w:color w:val="1A1A1A"/>
          <w:sz w:val="22"/>
          <w:szCs w:val="22"/>
        </w:rPr>
        <w:t xml:space="preserve">Question: </w:t>
      </w:r>
      <w:r>
        <w:rPr>
          <w:color w:val="1A1A1A"/>
          <w:sz w:val="22"/>
          <w:szCs w:val="22"/>
        </w:rPr>
        <w:t xml:space="preserve">Beyond IntelliDealer ERP, what other systems must QEP OS speak to?</w:t>
      </w:r>
    </w:p>
    <w:p>
      <w:pPr>
        <w:shd w:fill="EEF3F8" w:color="auto" w:val="clear"/>
        <w:spacing w:after="120"/>
      </w:pPr>
      <w:r>
        <w:rPr>
          <w:b/>
          <w:bCs/>
          <w:color w:val="1E3A5F"/>
          <w:sz w:val="22"/>
          <w:szCs w:val="22"/>
        </w:rPr>
        <w:t xml:space="preserve">Recommended starting point: </w:t>
      </w:r>
      <w:r>
        <w:rPr>
          <w:i/>
          <w:iCs/>
          <w:color w:val="1A1A1A"/>
          <w:sz w:val="22"/>
          <w:szCs w:val="22"/>
        </w:rPr>
        <w:t xml:space="preserve">Fill the table with which systems are in scope and the direction of data flow.</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80"/>
        <w:gridCol w:w="2360"/>
        <w:gridCol w:w="2400"/>
      </w:tblGrid>
      <w:tr>
        <w:trPr>
          <w:tblHeader/>
        </w:trPr>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System</w:t>
            </w:r>
          </w:p>
        </w:tc>
        <w:tc>
          <w:tcPr>
            <w:tcW w:type="dxa" w:w="1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In scope?</w:t>
            </w:r>
          </w:p>
        </w:tc>
        <w:tc>
          <w:tcPr>
            <w:tcW w:type="dxa" w:w="23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Direction (read / write / both)</w:t>
            </w:r>
          </w:p>
        </w:tc>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Notes</w:t>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Accounting (QuickBooks, NetSuite, etc.)</w:t>
            </w:r>
          </w:p>
        </w:tc>
        <w:tc>
          <w:tcPr>
            <w:tcW w:type="dxa" w:w="1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Inventory management (separate from IntelliDealer?)</w:t>
            </w:r>
          </w:p>
        </w:tc>
        <w:tc>
          <w:tcPr>
            <w:tcW w:type="dxa" w:w="1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Marketing automation (HubSpot, Mailchimp)</w:t>
            </w:r>
          </w:p>
        </w:tc>
        <w:tc>
          <w:tcPr>
            <w:tcW w:type="dxa" w:w="1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Service dispatch (Fieldpiece, ServiceTitan, etc.)</w:t>
            </w:r>
          </w:p>
        </w:tc>
        <w:tc>
          <w:tcPr>
            <w:tcW w:type="dxa" w:w="1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Manufacturer dealer portals</w:t>
            </w:r>
          </w:p>
        </w:tc>
        <w:tc>
          <w:tcPr>
            <w:tcW w:type="dxa" w:w="1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Bank / lender portals</w:t>
            </w:r>
          </w:p>
        </w:tc>
        <w:tc>
          <w:tcPr>
            <w:tcW w:type="dxa" w:w="1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3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Other: __________________</w:t>
            </w:r>
          </w:p>
        </w:tc>
        <w:tc>
          <w:tcPr>
            <w:tcW w:type="dxa" w:w="1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3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9. What we need from you to start, by role</w:t>
      </w:r>
    </w:p>
    <w:p>
      <w:pPr>
        <w:pStyle w:val="Heading3"/>
      </w:pPr>
      <w:r>
        <w:rPr>
          <w:rFonts w:ascii="Calibri" w:cs="Calibri" w:eastAsia="Calibri" w:hAnsi="Calibri"/>
          <w:b/>
          <w:bCs/>
          <w:color w:val="4A6FA5"/>
        </w:rPr>
        <w:t xml:space="preserve">From Owner</w:t>
      </w:r>
    </w:p>
    <w:p>
      <w:pPr>
        <w:pStyle w:val="ListParagraph"/>
        <w:numPr>
          <w:ilvl w:val="0"/>
          <w:numId w:val="2"/>
        </w:numPr>
        <w:spacing w:after="80"/>
      </w:pPr>
      <w:r>
        <w:rPr>
          <w:color w:val="1A1A1A"/>
          <w:sz w:val="22"/>
          <w:szCs w:val="22"/>
        </w:rPr>
        <w:t xml:space="preserve">Decision Points 5.1–5.6 (commission structure, scorecard metrics, dashboard requirements).</w:t>
      </w:r>
    </w:p>
    <w:p>
      <w:pPr>
        <w:pStyle w:val="ListParagraph"/>
        <w:numPr>
          <w:ilvl w:val="0"/>
          <w:numId w:val="2"/>
        </w:numPr>
        <w:spacing w:after="80"/>
      </w:pPr>
      <w:r>
        <w:rPr>
          <w:color w:val="1A1A1A"/>
          <w:sz w:val="22"/>
          <w:szCs w:val="22"/>
        </w:rPr>
        <w:t xml:space="preserve">Decision Point 1.4 (customer tier definitions).</w:t>
      </w:r>
    </w:p>
    <w:p>
      <w:pPr>
        <w:pStyle w:val="ListParagraph"/>
        <w:numPr>
          <w:ilvl w:val="0"/>
          <w:numId w:val="2"/>
        </w:numPr>
        <w:spacing w:after="80"/>
      </w:pPr>
      <w:r>
        <w:rPr>
          <w:color w:val="1A1A1A"/>
          <w:sz w:val="22"/>
          <w:szCs w:val="22"/>
        </w:rPr>
        <w:t xml:space="preserve">Decision Point 6.1 (multi-branch confirmation).</w:t>
      </w:r>
    </w:p>
    <w:p>
      <w:pPr>
        <w:pStyle w:val="ListParagraph"/>
        <w:numPr>
          <w:ilvl w:val="0"/>
          <w:numId w:val="2"/>
        </w:numPr>
        <w:spacing w:after="80"/>
      </w:pPr>
      <w:r>
        <w:rPr>
          <w:color w:val="1A1A1A"/>
          <w:sz w:val="22"/>
          <w:szCs w:val="22"/>
        </w:rPr>
        <w:t xml:space="preserve">Decision Point 6.5 (HubSpot migration scope and cutover target).</w:t>
      </w:r>
    </w:p>
    <w:p>
      <w:pPr>
        <w:pStyle w:val="Heading3"/>
      </w:pPr>
      <w:r>
        <w:rPr>
          <w:rFonts w:ascii="Calibri" w:cs="Calibri" w:eastAsia="Calibri" w:hAnsi="Calibri"/>
          <w:b/>
          <w:bCs/>
          <w:color w:val="4A6FA5"/>
        </w:rPr>
        <w:t xml:space="preserve">From Finance / Controller</w:t>
      </w:r>
    </w:p>
    <w:p>
      <w:pPr>
        <w:pStyle w:val="ListParagraph"/>
        <w:numPr>
          <w:ilvl w:val="0"/>
          <w:numId w:val="2"/>
        </w:numPr>
        <w:spacing w:after="80"/>
      </w:pPr>
      <w:r>
        <w:rPr>
          <w:color w:val="1A1A1A"/>
          <w:sz w:val="22"/>
          <w:szCs w:val="22"/>
        </w:rPr>
        <w:t xml:space="preserve">Decision Points 1.1–1.6 (credit gating policy, exception authority).</w:t>
      </w:r>
    </w:p>
    <w:p>
      <w:pPr>
        <w:pStyle w:val="ListParagraph"/>
        <w:numPr>
          <w:ilvl w:val="0"/>
          <w:numId w:val="2"/>
        </w:numPr>
        <w:spacing w:after="80"/>
      </w:pPr>
      <w:r>
        <w:rPr>
          <w:color w:val="1A1A1A"/>
          <w:sz w:val="22"/>
          <w:szCs w:val="22"/>
        </w:rPr>
        <w:t xml:space="preserve">Decision Point 5.3 (clawback rules).</w:t>
      </w:r>
    </w:p>
    <w:p>
      <w:pPr>
        <w:pStyle w:val="ListParagraph"/>
        <w:numPr>
          <w:ilvl w:val="0"/>
          <w:numId w:val="2"/>
        </w:numPr>
        <w:spacing w:after="80"/>
      </w:pPr>
      <w:r>
        <w:rPr>
          <w:color w:val="1A1A1A"/>
          <w:sz w:val="22"/>
          <w:szCs w:val="22"/>
        </w:rPr>
        <w:t xml:space="preserve">Current accounting system integration requirements (6.8).</w:t>
      </w:r>
    </w:p>
    <w:p>
      <w:pPr>
        <w:pStyle w:val="ListParagraph"/>
        <w:numPr>
          <w:ilvl w:val="0"/>
          <w:numId w:val="2"/>
        </w:numPr>
        <w:spacing w:after="80"/>
      </w:pPr>
      <w:r>
        <w:rPr>
          <w:color w:val="1A1A1A"/>
          <w:sz w:val="22"/>
          <w:szCs w:val="22"/>
        </w:rPr>
        <w:t xml:space="preserve">Tax-exemption certificate storage location preference (1.6).</w:t>
      </w:r>
    </w:p>
    <w:p>
      <w:pPr>
        <w:pStyle w:val="Heading3"/>
      </w:pPr>
      <w:r>
        <w:rPr>
          <w:rFonts w:ascii="Calibri" w:cs="Calibri" w:eastAsia="Calibri" w:hAnsi="Calibri"/>
          <w:b/>
          <w:bCs/>
          <w:color w:val="4A6FA5"/>
        </w:rPr>
        <w:t xml:space="preserve">From Used Equipment Manager</w:t>
      </w:r>
    </w:p>
    <w:p>
      <w:pPr>
        <w:pStyle w:val="ListParagraph"/>
        <w:numPr>
          <w:ilvl w:val="0"/>
          <w:numId w:val="2"/>
        </w:numPr>
        <w:spacing w:after="80"/>
      </w:pPr>
      <w:r>
        <w:rPr>
          <w:color w:val="1A1A1A"/>
          <w:sz w:val="22"/>
          <w:szCs w:val="22"/>
        </w:rPr>
        <w:t xml:space="preserve">Decision Points 2.1–2.3 (appraisal source, stock unit lock, recon cost).</w:t>
      </w:r>
    </w:p>
    <w:p>
      <w:pPr>
        <w:pStyle w:val="ListParagraph"/>
        <w:numPr>
          <w:ilvl w:val="0"/>
          <w:numId w:val="2"/>
        </w:numPr>
        <w:spacing w:after="80"/>
      </w:pPr>
      <w:r>
        <w:rPr>
          <w:color w:val="1A1A1A"/>
          <w:sz w:val="22"/>
          <w:szCs w:val="22"/>
        </w:rPr>
        <w:t xml:space="preserve">Reference source subscription credentials (2.1).</w:t>
      </w:r>
    </w:p>
    <w:p>
      <w:pPr>
        <w:pStyle w:val="ListParagraph"/>
        <w:numPr>
          <w:ilvl w:val="0"/>
          <w:numId w:val="2"/>
        </w:numPr>
        <w:spacing w:after="80"/>
      </w:pPr>
      <w:r>
        <w:rPr>
          <w:color w:val="1A1A1A"/>
          <w:sz w:val="22"/>
          <w:szCs w:val="22"/>
        </w:rPr>
        <w:t xml:space="preserve">Current recon cost capture process documentation.</w:t>
      </w:r>
    </w:p>
    <w:p>
      <w:pPr>
        <w:pStyle w:val="Heading3"/>
      </w:pPr>
      <w:r>
        <w:rPr>
          <w:rFonts w:ascii="Calibri" w:cs="Calibri" w:eastAsia="Calibri" w:hAnsi="Calibri"/>
          <w:b/>
          <w:bCs/>
          <w:color w:val="4A6FA5"/>
        </w:rPr>
        <w:t xml:space="preserve">From Parts Manager</w:t>
      </w:r>
    </w:p>
    <w:p>
      <w:pPr>
        <w:pStyle w:val="ListParagraph"/>
        <w:numPr>
          <w:ilvl w:val="0"/>
          <w:numId w:val="2"/>
        </w:numPr>
        <w:spacing w:after="80"/>
      </w:pPr>
      <w:r>
        <w:rPr>
          <w:color w:val="1A1A1A"/>
          <w:sz w:val="22"/>
          <w:szCs w:val="22"/>
        </w:rPr>
        <w:t xml:space="preserve">Decision Points 2.5, 2.6, 4.2 (parts kits, supersession handling, auto-suggest).</w:t>
      </w:r>
    </w:p>
    <w:p>
      <w:pPr>
        <w:pStyle w:val="ListParagraph"/>
        <w:numPr>
          <w:ilvl w:val="0"/>
          <w:numId w:val="2"/>
        </w:numPr>
        <w:spacing w:after="80"/>
      </w:pPr>
      <w:r>
        <w:rPr>
          <w:color w:val="1A1A1A"/>
          <w:sz w:val="22"/>
          <w:szCs w:val="22"/>
        </w:rPr>
        <w:t xml:space="preserve">Current parts kit catalog (CSV export OK).</w:t>
      </w:r>
    </w:p>
    <w:p>
      <w:pPr>
        <w:pStyle w:val="ListParagraph"/>
        <w:numPr>
          <w:ilvl w:val="0"/>
          <w:numId w:val="2"/>
        </w:numPr>
        <w:spacing w:after="80"/>
      </w:pPr>
      <w:r>
        <w:rPr>
          <w:color w:val="1A1A1A"/>
          <w:sz w:val="22"/>
          <w:szCs w:val="22"/>
        </w:rPr>
        <w:t xml:space="preserve">Manufacturer supersession data feed if you have one.</w:t>
      </w:r>
    </w:p>
    <w:p>
      <w:pPr>
        <w:pStyle w:val="Heading3"/>
      </w:pPr>
      <w:r>
        <w:rPr>
          <w:rFonts w:ascii="Calibri" w:cs="Calibri" w:eastAsia="Calibri" w:hAnsi="Calibri"/>
          <w:b/>
          <w:bCs/>
          <w:color w:val="4A6FA5"/>
        </w:rPr>
        <w:t xml:space="preserve">From Service Manager</w:t>
      </w:r>
    </w:p>
    <w:p>
      <w:pPr>
        <w:pStyle w:val="ListParagraph"/>
        <w:numPr>
          <w:ilvl w:val="0"/>
          <w:numId w:val="2"/>
        </w:numPr>
        <w:spacing w:after="80"/>
      </w:pPr>
      <w:r>
        <w:rPr>
          <w:color w:val="1A1A1A"/>
          <w:sz w:val="22"/>
          <w:szCs w:val="22"/>
        </w:rPr>
        <w:t xml:space="preserve">Decision Points 4.1, 4.3, 4.4 (service plans, warranty extensions, training).</w:t>
      </w:r>
    </w:p>
    <w:p>
      <w:pPr>
        <w:pStyle w:val="ListParagraph"/>
        <w:numPr>
          <w:ilvl w:val="0"/>
          <w:numId w:val="2"/>
        </w:numPr>
        <w:spacing w:after="80"/>
      </w:pPr>
      <w:r>
        <w:rPr>
          <w:color w:val="1A1A1A"/>
          <w:sz w:val="22"/>
          <w:szCs w:val="22"/>
        </w:rPr>
        <w:t xml:space="preserve">Service plan offerings table (4.1).</w:t>
      </w:r>
    </w:p>
    <w:p>
      <w:pPr>
        <w:pStyle w:val="ListParagraph"/>
        <w:numPr>
          <w:ilvl w:val="0"/>
          <w:numId w:val="2"/>
        </w:numPr>
        <w:spacing w:after="80"/>
      </w:pPr>
      <w:r>
        <w:rPr>
          <w:color w:val="1A1A1A"/>
          <w:sz w:val="22"/>
          <w:szCs w:val="22"/>
        </w:rPr>
        <w:t xml:space="preserve">Training requirement list by equipment category (4.4).</w:t>
      </w:r>
    </w:p>
    <w:p>
      <w:pPr>
        <w:pStyle w:val="Heading3"/>
      </w:pPr>
      <w:r>
        <w:rPr>
          <w:rFonts w:ascii="Calibri" w:cs="Calibri" w:eastAsia="Calibri" w:hAnsi="Calibri"/>
          <w:b/>
          <w:bCs/>
          <w:color w:val="4A6FA5"/>
        </w:rPr>
        <w:t xml:space="preserve">From Rental Manager</w:t>
      </w:r>
    </w:p>
    <w:p>
      <w:pPr>
        <w:pStyle w:val="ListParagraph"/>
        <w:numPr>
          <w:ilvl w:val="0"/>
          <w:numId w:val="2"/>
        </w:numPr>
        <w:spacing w:after="80"/>
      </w:pPr>
      <w:r>
        <w:rPr>
          <w:color w:val="1A1A1A"/>
          <w:sz w:val="22"/>
          <w:szCs w:val="22"/>
        </w:rPr>
        <w:t xml:space="preserve">Decision Points 3.1–3.6 (rate structure, terms, waivers, scheduling, maintenance, buyout).</w:t>
      </w:r>
    </w:p>
    <w:p>
      <w:pPr>
        <w:pStyle w:val="ListParagraph"/>
        <w:numPr>
          <w:ilvl w:val="0"/>
          <w:numId w:val="2"/>
        </w:numPr>
        <w:spacing w:after="80"/>
      </w:pPr>
      <w:r>
        <w:rPr>
          <w:color w:val="1A1A1A"/>
          <w:sz w:val="22"/>
          <w:szCs w:val="22"/>
        </w:rPr>
        <w:t xml:space="preserve">Current published rate sheet (3.1).</w:t>
      </w:r>
    </w:p>
    <w:p>
      <w:pPr>
        <w:pStyle w:val="ListParagraph"/>
        <w:numPr>
          <w:ilvl w:val="0"/>
          <w:numId w:val="2"/>
        </w:numPr>
        <w:spacing w:after="80"/>
      </w:pPr>
      <w:r>
        <w:rPr>
          <w:color w:val="1A1A1A"/>
          <w:sz w:val="22"/>
          <w:szCs w:val="22"/>
        </w:rPr>
        <w:t xml:space="preserve">Damage waiver and insurance policy documents (3.3).</w:t>
      </w:r>
    </w:p>
    <w:p>
      <w:pPr>
        <w:pStyle w:val="Heading3"/>
      </w:pPr>
      <w:r>
        <w:rPr>
          <w:rFonts w:ascii="Calibri" w:cs="Calibri" w:eastAsia="Calibri" w:hAnsi="Calibri"/>
          <w:b/>
          <w:bCs/>
          <w:color w:val="4A6FA5"/>
        </w:rPr>
        <w:t xml:space="preserve">From IT Lead</w:t>
      </w:r>
    </w:p>
    <w:p>
      <w:pPr>
        <w:pStyle w:val="ListParagraph"/>
        <w:numPr>
          <w:ilvl w:val="0"/>
          <w:numId w:val="2"/>
        </w:numPr>
        <w:spacing w:after="80"/>
      </w:pPr>
      <w:r>
        <w:rPr>
          <w:color w:val="1A1A1A"/>
          <w:sz w:val="22"/>
          <w:szCs w:val="22"/>
        </w:rPr>
        <w:t xml:space="preserve">Decision Points 6.2, 6.3, 6.8 (offline capability, mobile/desktop parity, integrations).</w:t>
      </w:r>
    </w:p>
    <w:p>
      <w:pPr>
        <w:pStyle w:val="ListParagraph"/>
        <w:numPr>
          <w:ilvl w:val="0"/>
          <w:numId w:val="2"/>
        </w:numPr>
        <w:spacing w:after="80"/>
      </w:pPr>
      <w:r>
        <w:rPr>
          <w:color w:val="1A1A1A"/>
          <w:sz w:val="22"/>
          <w:szCs w:val="22"/>
        </w:rPr>
        <w:t xml:space="preserve">M365 mailbox provisioning confirmation.</w:t>
      </w:r>
    </w:p>
    <w:p>
      <w:pPr>
        <w:pStyle w:val="ListParagraph"/>
        <w:numPr>
          <w:ilvl w:val="0"/>
          <w:numId w:val="2"/>
        </w:numPr>
        <w:spacing w:after="80"/>
      </w:pPr>
      <w:r>
        <w:rPr>
          <w:color w:val="1A1A1A"/>
          <w:sz w:val="22"/>
          <w:szCs w:val="22"/>
        </w:rPr>
        <w:t xml:space="preserve">IntelliDealer API access confirmation.</w:t>
      </w:r>
    </w:p>
    <w:p>
      <w:pPr>
        <w:pStyle w:val="ListParagraph"/>
        <w:numPr>
          <w:ilvl w:val="0"/>
          <w:numId w:val="2"/>
        </w:numPr>
        <w:spacing w:after="80"/>
      </w:pPr>
      <w:r>
        <w:rPr>
          <w:color w:val="1A1A1A"/>
          <w:sz w:val="22"/>
          <w:szCs w:val="22"/>
        </w:rPr>
        <w:t xml:space="preserve">Confirmation that the mobile app can store and sync offline data securely.</w:t>
      </w:r>
    </w:p>
    <w:p>
      <w:pPr>
        <w:pStyle w:val="Heading3"/>
      </w:pPr>
      <w:r>
        <w:rPr>
          <w:rFonts w:ascii="Calibri" w:cs="Calibri" w:eastAsia="Calibri" w:hAnsi="Calibri"/>
          <w:b/>
          <w:bCs/>
          <w:color w:val="4A6FA5"/>
        </w:rPr>
        <w:t xml:space="preserve">From VP Sales</w:t>
      </w:r>
    </w:p>
    <w:p>
      <w:pPr>
        <w:pStyle w:val="ListParagraph"/>
        <w:numPr>
          <w:ilvl w:val="0"/>
          <w:numId w:val="2"/>
        </w:numPr>
        <w:spacing w:after="80"/>
      </w:pPr>
      <w:r>
        <w:rPr>
          <w:color w:val="1A1A1A"/>
          <w:sz w:val="22"/>
          <w:szCs w:val="22"/>
        </w:rPr>
        <w:t xml:space="preserve">Decision Point 6.4 (voice capture scope).</w:t>
      </w:r>
    </w:p>
    <w:p>
      <w:pPr>
        <w:pStyle w:val="ListParagraph"/>
        <w:numPr>
          <w:ilvl w:val="0"/>
          <w:numId w:val="2"/>
        </w:numPr>
        <w:spacing w:after="80"/>
      </w:pPr>
      <w:r>
        <w:rPr>
          <w:color w:val="1A1A1A"/>
          <w:sz w:val="22"/>
          <w:szCs w:val="22"/>
        </w:rPr>
        <w:t xml:space="preserve">Decision Point 2.4 (substitution policy).</w:t>
      </w:r>
    </w:p>
    <w:p>
      <w:pPr>
        <w:pStyle w:val="ListParagraph"/>
        <w:numPr>
          <w:ilvl w:val="0"/>
          <w:numId w:val="2"/>
        </w:numPr>
        <w:spacing w:after="80"/>
      </w:pPr>
      <w:r>
        <w:rPr>
          <w:color w:val="1A1A1A"/>
          <w:sz w:val="22"/>
          <w:szCs w:val="22"/>
        </w:rPr>
        <w:t xml:space="preserve">Names of pilot reps for each new capability.</w:t>
      </w:r>
    </w:p>
    <w:p>
      <w:pPr>
        <w:pStyle w:val="Heading1"/>
      </w:pPr>
      <w:r>
        <w:rPr>
          <w:rFonts w:ascii="Calibri" w:cs="Calibri" w:eastAsia="Calibri" w:hAnsi="Calibri"/>
          <w:b/>
          <w:bCs/>
          <w:color w:val="1E3A5F"/>
        </w:rPr>
        <w:t xml:space="preserve">10. Risks if we get this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Risk</w:t>
            </w:r>
          </w:p>
        </w:tc>
        <w:tc>
          <w:tcPr>
            <w:tcW w:type="dxa" w:w="58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Mitigation</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Rental quote engine is built incorrectly and reps reject it.</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Ship rental separately from sales quotes; pilot with rental-heavy reps before dealership-wide rollout.</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Credit gate blocks legitimate sales.</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Decision Point 1.1 = B (warn but proceed) for Phase 1; monitor block rate; tighten only if data supports it.</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Commission rules feel unfair.</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Decision Point 5.1 escalator must be designed with reps in the room. Engineering will draft; owner and reps approve together.</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Clawback rules cause rep turnover.</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Decision Point 5.3 must be transparent and pre-disclosed. No surprise clawbacks.</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HubSpot migration drops customer relationships.</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Decision Point 6.5 = B preserves archive access; reps can always click through to old HubSpot data during transition.</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Offline sync conflicts overwrite each other.</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Last-write-wins is insufficient. We will use operation-based sync (CRDTs or operational transforms) for high-collision fields.</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Voice fills wrong dollar amount silently.</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Decision Point 6.4 enforces manual confirmation on all pricing fields — hard-coded, no override.</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Multi-branch leaks data across branches.</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Row-level security tested against a synthetic multi-branch dataset before any branch goes live.</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Warranty extension upsell feels pushy to customer.</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Decision Point 4.3 = B keeps it optional; never auto-add to the total without the rep including it.</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Rental fleet utilization data is wrong because rentals not captured cleanly.</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Build rental capture as a primary path, not a special-case retrofit.</w:t>
            </w:r>
          </w:p>
        </w:tc>
      </w:tr>
    </w:tbl>
    <w:p>
      <w:pPr>
        <w:pStyle w:val="Heading1"/>
      </w:pPr>
      <w:r>
        <w:rPr>
          <w:rFonts w:ascii="Calibri" w:cs="Calibri" w:eastAsia="Calibri" w:hAnsi="Calibri"/>
          <w:b/>
          <w:bCs/>
          <w:color w:val="1E3A5F"/>
        </w:rPr>
        <w:t xml:space="preserve">11. What success looks like</w:t>
      </w:r>
    </w:p>
    <w:p>
      <w:pPr>
        <w:spacing w:after="120"/>
      </w:pPr>
      <w:r>
        <w:rPr>
          <w:color w:val="1A1A1A"/>
          <w:sz w:val="22"/>
          <w:szCs w:val="22"/>
        </w:rPr>
        <w:t xml:space="preserve">90 days after launch:</w:t>
      </w:r>
    </w:p>
    <w:p>
      <w:pPr>
        <w:pStyle w:val="ListParagraph"/>
        <w:numPr>
          <w:ilvl w:val="0"/>
          <w:numId w:val="2"/>
        </w:numPr>
        <w:spacing w:after="80"/>
      </w:pPr>
      <w:r>
        <w:rPr>
          <w:color w:val="1A1A1A"/>
          <w:sz w:val="22"/>
          <w:szCs w:val="22"/>
        </w:rPr>
        <w:t xml:space="preserve">Rental quote-to-order time drops by 50% vs. current process; rental fleet utilization is measurable per category.</w:t>
      </w:r>
    </w:p>
    <w:p>
      <w:pPr>
        <w:pStyle w:val="ListParagraph"/>
        <w:numPr>
          <w:ilvl w:val="0"/>
          <w:numId w:val="2"/>
        </w:numPr>
        <w:spacing w:after="80"/>
      </w:pPr>
      <w:r>
        <w:rPr>
          <w:color w:val="1A1A1A"/>
          <w:sz w:val="22"/>
          <w:szCs w:val="22"/>
        </w:rPr>
        <w:t xml:space="preserve">Zero quotes shipped to customers later flagged for non-payment within 12 months without an exception override on file.</w:t>
      </w:r>
    </w:p>
    <w:p>
      <w:pPr>
        <w:pStyle w:val="ListParagraph"/>
        <w:numPr>
          <w:ilvl w:val="0"/>
          <w:numId w:val="2"/>
        </w:numPr>
        <w:spacing w:after="80"/>
      </w:pPr>
      <w:r>
        <w:rPr>
          <w:color w:val="1A1A1A"/>
          <w:sz w:val="22"/>
          <w:szCs w:val="22"/>
        </w:rPr>
        <w:t xml:space="preserve">100% of trades over $25,000 have a reference source attached; recon cost captured before the unit reaches the sales floor.</w:t>
      </w:r>
    </w:p>
    <w:p>
      <w:pPr>
        <w:pStyle w:val="ListParagraph"/>
        <w:numPr>
          <w:ilvl w:val="0"/>
          <w:numId w:val="2"/>
        </w:numPr>
        <w:spacing w:after="80"/>
      </w:pPr>
      <w:r>
        <w:rPr>
          <w:color w:val="1A1A1A"/>
          <w:sz w:val="22"/>
          <w:szCs w:val="22"/>
        </w:rPr>
        <w:t xml:space="preserve">Parts kit attach rate on new equipment sales increases by at least 30%.</w:t>
      </w:r>
    </w:p>
    <w:p>
      <w:pPr>
        <w:pStyle w:val="ListParagraph"/>
        <w:numPr>
          <w:ilvl w:val="0"/>
          <w:numId w:val="2"/>
        </w:numPr>
        <w:spacing w:after="80"/>
      </w:pPr>
      <w:r>
        <w:rPr>
          <w:color w:val="1A1A1A"/>
          <w:sz w:val="22"/>
          <w:szCs w:val="22"/>
        </w:rPr>
        <w:t xml:space="preserve">Service plan attach rate on new equipment sales increases by at least 20%.</w:t>
      </w:r>
    </w:p>
    <w:p>
      <w:pPr>
        <w:pStyle w:val="ListParagraph"/>
        <w:numPr>
          <w:ilvl w:val="0"/>
          <w:numId w:val="2"/>
        </w:numPr>
        <w:spacing w:after="80"/>
      </w:pPr>
      <w:r>
        <w:rPr>
          <w:color w:val="1A1A1A"/>
          <w:sz w:val="22"/>
          <w:szCs w:val="22"/>
        </w:rPr>
        <w:t xml:space="preserve">Zero rep escalations about commission calculation; ledger reconciles to-the-penny with finance reports.</w:t>
      </w:r>
    </w:p>
    <w:p>
      <w:pPr>
        <w:pStyle w:val="ListParagraph"/>
        <w:numPr>
          <w:ilvl w:val="0"/>
          <w:numId w:val="2"/>
        </w:numPr>
        <w:spacing w:after="80"/>
      </w:pPr>
      <w:r>
        <w:rPr>
          <w:color w:val="1A1A1A"/>
          <w:sz w:val="22"/>
          <w:szCs w:val="22"/>
        </w:rPr>
        <w:t xml:space="preserve">Owner uses the dashboard daily without engineering hand-holding; weekly anomaly alerts trigger real conversations.</w:t>
      </w:r>
    </w:p>
    <w:p>
      <w:pPr>
        <w:pStyle w:val="ListParagraph"/>
        <w:numPr>
          <w:ilvl w:val="0"/>
          <w:numId w:val="2"/>
        </w:numPr>
        <w:spacing w:after="80"/>
      </w:pPr>
      <w:r>
        <w:rPr>
          <w:color w:val="1A1A1A"/>
          <w:sz w:val="22"/>
          <w:szCs w:val="22"/>
        </w:rPr>
        <w:t xml:space="preserve">Field reps can complete a full visit-log + draft-quote cycle on a jobsite with no signal, and have it sync cleanly when back online.</w:t>
      </w:r>
    </w:p>
    <w:p>
      <w:pPr>
        <w:pStyle w:val="ListParagraph"/>
        <w:numPr>
          <w:ilvl w:val="0"/>
          <w:numId w:val="2"/>
        </w:numPr>
        <w:spacing w:after="80"/>
      </w:pPr>
      <w:r>
        <w:rPr>
          <w:color w:val="1A1A1A"/>
          <w:sz w:val="22"/>
          <w:szCs w:val="22"/>
        </w:rPr>
        <w:t xml:space="preserve">No customer relationship lost in HubSpot cutover; under 5% of reps need archive lookups beyond 30 days post-cutover.</w:t>
      </w:r>
    </w:p>
    <w:p>
      <w:pPr>
        <w:pStyle w:val="Heading1"/>
      </w:pPr>
      <w:r>
        <w:rPr>
          <w:rFonts w:ascii="Calibri" w:cs="Calibri" w:eastAsia="Calibri" w:hAnsi="Calibri"/>
          <w:b/>
          <w:bCs/>
          <w:color w:val="1E3A5F"/>
        </w:rPr>
        <w:t xml:space="preserve">12. Open questions we expect pushback on</w:t>
      </w:r>
    </w:p>
    <w:p>
      <w:pPr>
        <w:pStyle w:val="ListParagraph"/>
        <w:numPr>
          <w:ilvl w:val="0"/>
          <w:numId w:val="3"/>
        </w:numPr>
        <w:spacing w:after="80"/>
      </w:pPr>
      <w:r>
        <w:rPr>
          <w:color w:val="1A1A1A"/>
          <w:sz w:val="22"/>
          <w:szCs w:val="22"/>
        </w:rPr>
        <w:t xml:space="preserve">Decision Point 1.4 (customer tiers): codifying tiers will surface inconsistencies — Rep A’s “Platinum” may be Rep B’s “Standard.” Uncomfortable but valuable.</w:t>
      </w:r>
    </w:p>
    <w:p>
      <w:pPr>
        <w:pStyle w:val="ListParagraph"/>
        <w:numPr>
          <w:ilvl w:val="0"/>
          <w:numId w:val="3"/>
        </w:numPr>
        <w:spacing w:after="80"/>
      </w:pPr>
      <w:r>
        <w:rPr>
          <w:color w:val="1A1A1A"/>
          <w:sz w:val="22"/>
          <w:szCs w:val="22"/>
        </w:rPr>
        <w:t xml:space="preserve">Decision Point 3.1 (rental rates): published rate sheets are often outdated. The migration exercise will force you to confront which rates are real.</w:t>
      </w:r>
    </w:p>
    <w:p>
      <w:pPr>
        <w:pStyle w:val="ListParagraph"/>
        <w:numPr>
          <w:ilvl w:val="0"/>
          <w:numId w:val="3"/>
        </w:numPr>
        <w:spacing w:after="80"/>
      </w:pPr>
      <w:r>
        <w:rPr>
          <w:color w:val="1A1A1A"/>
          <w:sz w:val="22"/>
          <w:szCs w:val="22"/>
        </w:rPr>
        <w:t xml:space="preserve">Decision Points 5.1–5.3 (commission): the most politically charged section. Reps will argue every clause. Owner should make the structural decision; rep input is welcomed on the numbers, not the structure.</w:t>
      </w:r>
    </w:p>
    <w:p>
      <w:pPr>
        <w:pStyle w:val="ListParagraph"/>
        <w:numPr>
          <w:ilvl w:val="0"/>
          <w:numId w:val="3"/>
        </w:numPr>
        <w:spacing w:after="80"/>
      </w:pPr>
      <w:r>
        <w:rPr>
          <w:color w:val="1A1A1A"/>
          <w:sz w:val="22"/>
          <w:szCs w:val="22"/>
        </w:rPr>
        <w:t xml:space="preserve">Decision Point 5.4 (house deals): some owners prefer not to draw a house commission for tax/equity reasons. Owner’s call.</w:t>
      </w:r>
    </w:p>
    <w:p>
      <w:pPr>
        <w:pStyle w:val="ListParagraph"/>
        <w:numPr>
          <w:ilvl w:val="0"/>
          <w:numId w:val="3"/>
        </w:numPr>
        <w:spacing w:after="80"/>
      </w:pPr>
      <w:r>
        <w:rPr>
          <w:color w:val="1A1A1A"/>
          <w:sz w:val="22"/>
          <w:szCs w:val="22"/>
        </w:rPr>
        <w:t xml:space="preserve">Decision Point 6.2 (offline scope): we recommend being aggressive on offline capability. Cost is real; field rep happiness depends on it.</w:t>
      </w:r>
    </w:p>
    <w:p>
      <w:pPr>
        <w:pStyle w:val="ListParagraph"/>
        <w:numPr>
          <w:ilvl w:val="0"/>
          <w:numId w:val="3"/>
        </w:numPr>
        <w:spacing w:after="80"/>
      </w:pPr>
      <w:r>
        <w:rPr>
          <w:color w:val="1A1A1A"/>
          <w:sz w:val="22"/>
          <w:szCs w:val="22"/>
        </w:rPr>
        <w:t xml:space="preserve">Decision Point 6.5 (HubSpot): migration always takes longer than estimated. Expect a dry-run into a sandbox before any production cutover, with time between dry-run sign-off and production cutover.</w:t>
      </w:r>
    </w:p>
    <w:p>
      <w:pPr>
        <w:pStyle w:val="ListParagraph"/>
        <w:numPr>
          <w:ilvl w:val="0"/>
          <w:numId w:val="3"/>
        </w:numPr>
        <w:spacing w:after="80"/>
      </w:pPr>
      <w:r>
        <w:rPr>
          <w:color w:val="1A1A1A"/>
          <w:sz w:val="22"/>
          <w:szCs w:val="22"/>
        </w:rPr>
        <w:t xml:space="preserve">Decision Point 4.4 (training): liability considerations may push category C harder than the sample recommends. Worth a legal review.</w:t>
      </w:r>
    </w:p>
    <w:p>
      <w:pPr>
        <w:pStyle w:val="ListParagraph"/>
        <w:numPr>
          <w:ilvl w:val="0"/>
          <w:numId w:val="3"/>
        </w:numPr>
        <w:spacing w:after="80"/>
      </w:pPr>
      <w:r>
        <w:rPr>
          <w:color w:val="1A1A1A"/>
          <w:sz w:val="22"/>
          <w:szCs w:val="22"/>
        </w:rPr>
        <w:t xml:space="preserve">Decision Point 6.6 (multi-currency): easy to over-architect for “someday.” Schema-readiness is near-zero cost; UI/UX work is significant. Build readiness only when concrete plans exist.</w:t>
      </w:r>
    </w:p>
    <w:p>
      <w:pPr>
        <w:pStyle w:val="Heading1"/>
      </w:pPr>
      <w:r>
        <w:rPr>
          <w:rFonts w:ascii="Calibri" w:cs="Calibri" w:eastAsia="Calibri" w:hAnsi="Calibri"/>
          <w:b/>
          <w:bCs/>
          <w:color w:val="1E3A5F"/>
        </w:rPr>
        <w:t xml:space="preserve">13. Returning your answers</w:t>
      </w:r>
    </w:p>
    <w:p>
      <w:pPr>
        <w:spacing w:after="120"/>
      </w:pPr>
      <w:r>
        <w:rPr>
          <w:color w:val="1A1A1A"/>
          <w:sz w:val="22"/>
          <w:szCs w:val="22"/>
        </w:rPr>
        <w:t xml:space="preserve">Given the audience fans out across six or more roles, we recommend:</w:t>
      </w:r>
    </w:p>
    <w:p>
      <w:pPr>
        <w:pStyle w:val="ListParagraph"/>
        <w:numPr>
          <w:ilvl w:val="0"/>
          <w:numId w:val="3"/>
        </w:numPr>
        <w:spacing w:after="80"/>
      </w:pPr>
      <w:r>
        <w:rPr>
          <w:color w:val="1A1A1A"/>
          <w:sz w:val="22"/>
          <w:szCs w:val="22"/>
        </w:rPr>
        <w:t xml:space="preserve">First pass: each role-owner fills in their cluster independently within 7 days.</w:t>
      </w:r>
    </w:p>
    <w:p>
      <w:pPr>
        <w:pStyle w:val="ListParagraph"/>
        <w:numPr>
          <w:ilvl w:val="0"/>
          <w:numId w:val="3"/>
        </w:numPr>
        <w:spacing w:after="80"/>
      </w:pPr>
      <w:r>
        <w:rPr>
          <w:color w:val="1A1A1A"/>
          <w:sz w:val="22"/>
          <w:szCs w:val="22"/>
        </w:rPr>
        <w:t xml:space="preserve">Reconciliation session: 60-minute session with all role-owners + engineering + owner to resolve cross-cluster conflicts.</w:t>
      </w:r>
    </w:p>
    <w:p>
      <w:pPr>
        <w:pStyle w:val="ListParagraph"/>
        <w:numPr>
          <w:ilvl w:val="0"/>
          <w:numId w:val="3"/>
        </w:numPr>
        <w:spacing w:after="80"/>
      </w:pPr>
      <w:r>
        <w:rPr>
          <w:color w:val="1A1A1A"/>
          <w:sz w:val="22"/>
          <w:szCs w:val="22"/>
        </w:rPr>
        <w:t xml:space="preserve">Owner sign-off: owner approves the consolidated answers (an “approved” email reply is fine).</w:t>
      </w:r>
    </w:p>
    <w:p>
      <w:pPr>
        <w:spacing w:after="40"/>
      </w:pPr>
      <w:r>
        <w:t xml:space="preserve"/>
      </w:r>
    </w:p>
    <w:p>
      <w:pPr>
        <w:spacing w:after="120"/>
      </w:pPr>
      <w:r>
        <w:rPr>
          <w:color w:val="1A1A1A"/>
          <w:sz w:val="22"/>
          <w:szCs w:val="22"/>
        </w:rPr>
        <w:t xml:space="preserve">Unanswered Decision Points default to the recommended starting point with “owner-deferred” flags.</w:t>
      </w:r>
    </w:p>
    <w:p>
      <w:pPr>
        <w:pStyle w:val="Heading1"/>
      </w:pPr>
      <w:r>
        <w:rPr>
          <w:rFonts w:ascii="Calibri" w:cs="Calibri" w:eastAsia="Calibri" w:hAnsi="Calibri"/>
          <w:b/>
          <w:bCs/>
          <w:color w:val="1E3A5F"/>
        </w:rPr>
        <w:t xml:space="preserve">Glossary</w:t>
      </w:r>
    </w:p>
    <w:p>
      <w:pPr>
        <w:pStyle w:val="ListParagraph"/>
        <w:numPr>
          <w:ilvl w:val="0"/>
          <w:numId w:val="2"/>
        </w:numPr>
        <w:spacing w:after="80"/>
      </w:pPr>
      <w:r>
        <w:rPr>
          <w:b/>
          <w:bCs/>
          <w:color w:val="1A1A1A"/>
          <w:sz w:val="22"/>
          <w:szCs w:val="22"/>
        </w:rPr>
        <w:t xml:space="preserve">UEM (Used Equipment Manager) </w:t>
      </w:r>
      <w:r>
        <w:rPr>
          <w:color w:val="1A1A1A"/>
          <w:sz w:val="22"/>
          <w:szCs w:val="22"/>
        </w:rPr>
        <w:t xml:space="preserve">— the role responsible for appraising and managing used inventory.</w:t>
      </w:r>
    </w:p>
    <w:p>
      <w:pPr>
        <w:pStyle w:val="ListParagraph"/>
        <w:numPr>
          <w:ilvl w:val="0"/>
          <w:numId w:val="2"/>
        </w:numPr>
        <w:spacing w:after="80"/>
      </w:pPr>
      <w:r>
        <w:rPr>
          <w:b/>
          <w:bCs/>
          <w:color w:val="1A1A1A"/>
          <w:sz w:val="22"/>
          <w:szCs w:val="22"/>
        </w:rPr>
        <w:t xml:space="preserve">Recon (Reconditioning) </w:t>
      </w:r>
      <w:r>
        <w:rPr>
          <w:color w:val="1A1A1A"/>
          <w:sz w:val="22"/>
          <w:szCs w:val="22"/>
        </w:rPr>
        <w:t xml:space="preserve">— work performed on used equipment between intake and resale.</w:t>
      </w:r>
    </w:p>
    <w:p>
      <w:pPr>
        <w:pStyle w:val="ListParagraph"/>
        <w:numPr>
          <w:ilvl w:val="0"/>
          <w:numId w:val="2"/>
        </w:numPr>
        <w:spacing w:after="80"/>
      </w:pPr>
      <w:r>
        <w:rPr>
          <w:b/>
          <w:bCs/>
          <w:color w:val="1A1A1A"/>
          <w:sz w:val="22"/>
          <w:szCs w:val="22"/>
        </w:rPr>
        <w:t xml:space="preserve">Subvention </w:t>
      </w:r>
      <w:r>
        <w:rPr>
          <w:color w:val="1A1A1A"/>
          <w:sz w:val="22"/>
          <w:szCs w:val="22"/>
        </w:rPr>
        <w:t xml:space="preserve">— manufacturer-funded financing discount (e.g., “0% for 60 months”).</w:t>
      </w:r>
    </w:p>
    <w:p>
      <w:pPr>
        <w:pStyle w:val="ListParagraph"/>
        <w:numPr>
          <w:ilvl w:val="0"/>
          <w:numId w:val="2"/>
        </w:numPr>
        <w:spacing w:after="80"/>
      </w:pPr>
      <w:r>
        <w:rPr>
          <w:b/>
          <w:bCs/>
          <w:color w:val="1A1A1A"/>
          <w:sz w:val="22"/>
          <w:szCs w:val="22"/>
        </w:rPr>
        <w:t xml:space="preserve">OAC (On Approved Credit) </w:t>
      </w:r>
      <w:r>
        <w:rPr>
          <w:color w:val="1A1A1A"/>
          <w:sz w:val="22"/>
          <w:szCs w:val="22"/>
        </w:rPr>
        <w:t xml:space="preserve">— financing terms contingent on credit approval.</w:t>
      </w:r>
    </w:p>
    <w:p>
      <w:pPr>
        <w:pStyle w:val="ListParagraph"/>
        <w:numPr>
          <w:ilvl w:val="0"/>
          <w:numId w:val="2"/>
        </w:numPr>
        <w:spacing w:after="80"/>
      </w:pPr>
      <w:r>
        <w:rPr>
          <w:b/>
          <w:bCs/>
          <w:color w:val="1A1A1A"/>
          <w:sz w:val="22"/>
          <w:szCs w:val="22"/>
        </w:rPr>
        <w:t xml:space="preserve">Buyout </w:t>
      </w:r>
      <w:r>
        <w:rPr>
          <w:color w:val="1A1A1A"/>
          <w:sz w:val="22"/>
          <w:szCs w:val="22"/>
        </w:rPr>
        <w:t xml:space="preserve">— converting a rental into a sale (customer keeps the unit).</w:t>
      </w:r>
    </w:p>
    <w:p>
      <w:pPr>
        <w:pStyle w:val="ListParagraph"/>
        <w:numPr>
          <w:ilvl w:val="0"/>
          <w:numId w:val="2"/>
        </w:numPr>
        <w:spacing w:after="80"/>
      </w:pPr>
      <w:r>
        <w:rPr>
          <w:b/>
          <w:bCs/>
          <w:color w:val="1A1A1A"/>
          <w:sz w:val="22"/>
          <w:szCs w:val="22"/>
        </w:rPr>
        <w:t xml:space="preserve">Damage waiver </w:t>
      </w:r>
      <w:r>
        <w:rPr>
          <w:color w:val="1A1A1A"/>
          <w:sz w:val="22"/>
          <w:szCs w:val="22"/>
        </w:rPr>
        <w:t xml:space="preserve">— fee customer pays to limit liability for equipment damage during rental.</w:t>
      </w:r>
    </w:p>
    <w:p>
      <w:pPr>
        <w:pStyle w:val="ListParagraph"/>
        <w:numPr>
          <w:ilvl w:val="0"/>
          <w:numId w:val="2"/>
        </w:numPr>
        <w:spacing w:after="80"/>
      </w:pPr>
      <w:r>
        <w:rPr>
          <w:b/>
          <w:bCs/>
          <w:color w:val="1A1A1A"/>
          <w:sz w:val="22"/>
          <w:szCs w:val="22"/>
        </w:rPr>
        <w:t xml:space="preserve">Soft hold / hard hold </w:t>
      </w:r>
      <w:r>
        <w:rPr>
          <w:color w:val="1A1A1A"/>
          <w:sz w:val="22"/>
          <w:szCs w:val="22"/>
        </w:rPr>
        <w:t xml:space="preserve">— inventory commitment levels.</w:t>
      </w:r>
    </w:p>
    <w:p>
      <w:pPr>
        <w:pStyle w:val="ListParagraph"/>
        <w:numPr>
          <w:ilvl w:val="0"/>
          <w:numId w:val="2"/>
        </w:numPr>
        <w:spacing w:after="80"/>
      </w:pPr>
      <w:r>
        <w:rPr>
          <w:b/>
          <w:bCs/>
          <w:color w:val="1A1A1A"/>
          <w:sz w:val="22"/>
          <w:szCs w:val="22"/>
        </w:rPr>
        <w:t xml:space="preserve">Clawback </w:t>
      </w:r>
      <w:r>
        <w:rPr>
          <w:color w:val="1A1A1A"/>
          <w:sz w:val="22"/>
          <w:szCs w:val="22"/>
        </w:rPr>
        <w:t xml:space="preserve">— recovery of paid commission when the underlying deal goes bad.</w:t>
      </w:r>
    </w:p>
    <w:p>
      <w:pPr>
        <w:pStyle w:val="ListParagraph"/>
        <w:numPr>
          <w:ilvl w:val="0"/>
          <w:numId w:val="2"/>
        </w:numPr>
        <w:spacing w:after="80"/>
      </w:pPr>
      <w:r>
        <w:rPr>
          <w:b/>
          <w:bCs/>
          <w:color w:val="1A1A1A"/>
          <w:sz w:val="22"/>
          <w:szCs w:val="22"/>
        </w:rPr>
        <w:t xml:space="preserve">Accelerator </w:t>
      </w:r>
      <w:r>
        <w:rPr>
          <w:color w:val="1A1A1A"/>
          <w:sz w:val="22"/>
          <w:szCs w:val="22"/>
        </w:rPr>
        <w:t xml:space="preserve">— bonus commission % that kicks in above a target threshold.</w:t>
      </w:r>
    </w:p>
    <w:p>
      <w:pPr>
        <w:pStyle w:val="ListParagraph"/>
        <w:numPr>
          <w:ilvl w:val="0"/>
          <w:numId w:val="2"/>
        </w:numPr>
        <w:spacing w:after="80"/>
      </w:pPr>
      <w:r>
        <w:rPr>
          <w:b/>
          <w:bCs/>
          <w:color w:val="1A1A1A"/>
          <w:sz w:val="22"/>
          <w:szCs w:val="22"/>
        </w:rPr>
        <w:t xml:space="preserve">Sync queue </w:t>
      </w:r>
      <w:r>
        <w:rPr>
          <w:color w:val="1A1A1A"/>
          <w:sz w:val="22"/>
          <w:szCs w:val="22"/>
        </w:rPr>
        <w:t xml:space="preserve">— offline operations stored locally and replayed when connectivity returns.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8"/>
        <w:szCs w:val="18"/>
      </w:rPr>
      <w:t xml:space="preserve">QEP OS Discovery  •  Page </w:t>
    </w:r>
    <w:r>
      <w:rPr>
        <w:color w:val="5C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8"/>
        <w:szCs w:val="18"/>
      </w:rPr>
      <w:t xml:space="preserve">Tier 3 — Specialty 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 3 — Specialty Flows</dc:title>
  <dc:creator>QEP OS Engineering</dc:creator>
  <dc:description>QEP OS owner &amp; management discovery document</dc:description>
  <cp:lastModifiedBy>Un-named</cp:lastModifiedBy>
  <cp:revision>1</cp:revision>
  <dcterms:created xsi:type="dcterms:W3CDTF">2026-05-18T01:47:46.895Z</dcterms:created>
  <dcterms:modified xsi:type="dcterms:W3CDTF">2026-05-18T01:47:46.895Z</dcterms:modified>
</cp:coreProperties>
</file>

<file path=docProps/custom.xml><?xml version="1.0" encoding="utf-8"?>
<Properties xmlns="http://schemas.openxmlformats.org/officeDocument/2006/custom-properties" xmlns:vt="http://schemas.openxmlformats.org/officeDocument/2006/docPropsVTypes"/>
</file>