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D26F2A"/>
          <w:spacing w:val="30"/>
          <w:sz w:val="18"/>
          <w:szCs w:val="18"/>
        </w:rPr>
        <w:t xml:space="preserve">QEP OS · FINANCE &amp; ACCOUNTING</w:t>
      </w:r>
    </w:p>
    <w:p>
      <w:pPr>
        <w:spacing w:after="60"/>
      </w:pPr>
      <w:r>
        <w:rPr>
          <w:rFonts w:ascii="Arial" w:cs="Arial" w:eastAsia="Arial" w:hAnsi="Arial"/>
          <w:b/>
          <w:bCs/>
          <w:color w:val="2F2F2F"/>
          <w:sz w:val="38"/>
          <w:szCs w:val="38"/>
        </w:rPr>
        <w:t xml:space="preserve">Finance &amp; Accounting Questionnaire — QEP Responses</w:t>
      </w:r>
    </w:p>
    <w:p>
      <w:pPr>
        <w:pBdr>
          <w:bottom w:val="single" w:color="D26F2A" w:sz="14" w:space="4"/>
        </w:pBdr>
        <w:spacing w:after="160"/>
      </w:pPr>
      <w:r>
        <w:rPr>
          <w:rFonts w:ascii="Arial" w:cs="Arial" w:eastAsia="Arial" w:hAnsi="Arial"/>
          <w:i/>
          <w:iCs/>
          <w:color w:val="6B6B6B"/>
          <w:sz w:val="18"/>
          <w:szCs w:val="18"/>
        </w:rPr>
        <w:t xml:space="preserve">Prepared for the working session with Brian Lewis, BlackRock AI  ·  From Ryan McKenzie (President) &amp; Tina McKenzie (VP &amp; Controller), Quality Equipment &amp; Parts</w:t>
      </w:r>
    </w:p>
    <w:p>
      <w:pPr>
        <w:spacing w:after="100"/>
      </w:pPr>
      <w:r>
        <w:rPr>
          <w:rFonts w:ascii="Arial" w:cs="Arial" w:eastAsia="Arial" w:hAnsi="Arial"/>
          <w:b/>
          <w:bCs/>
          <w:color w:val="2F2F2F"/>
          <w:sz w:val="21"/>
          <w:szCs w:val="21"/>
        </w:rPr>
        <w:t xml:space="preserve">How to read this:  </w:t>
      </w:r>
      <w:r>
        <w:rPr>
          <w:rFonts w:ascii="Arial" w:cs="Arial" w:eastAsia="Arial" w:hAnsi="Arial"/>
          <w:color w:val="2F2F2F"/>
          <w:sz w:val="21"/>
          <w:szCs w:val="21"/>
        </w:rPr>
        <w:t xml:space="preserve">Each question carries QEP's answer in a green </w:t>
      </w:r>
      <w:r>
        <w:rPr>
          <w:rFonts w:ascii="Arial" w:cs="Arial" w:eastAsia="Arial" w:hAnsi="Arial"/>
          <w:b/>
          <w:bCs/>
          <w:color w:val="2E7D32"/>
          <w:sz w:val="21"/>
          <w:szCs w:val="21"/>
        </w:rPr>
        <w:t xml:space="preserve">QEP RESPONSE</w:t>
      </w:r>
      <w:r>
        <w:rPr>
          <w:rFonts w:ascii="Arial" w:cs="Arial" w:eastAsia="Arial" w:hAnsi="Arial"/>
          <w:color w:val="2F2F2F"/>
          <w:sz w:val="21"/>
          <w:szCs w:val="21"/>
        </w:rPr>
        <w:t xml:space="preserve"> box. Orange </w:t>
      </w:r>
      <w:r>
        <w:rPr>
          <w:rFonts w:ascii="Arial" w:cs="Arial" w:eastAsia="Arial" w:hAnsi="Arial"/>
          <w:b/>
          <w:bCs/>
          <w:color w:val="D26F2A"/>
          <w:sz w:val="21"/>
          <w:szCs w:val="21"/>
        </w:rPr>
        <w:t xml:space="preserve">Still to confirm</w:t>
      </w:r>
      <w:r>
        <w:rPr>
          <w:rFonts w:ascii="Arial" w:cs="Arial" w:eastAsia="Arial" w:hAnsi="Arial"/>
          <w:color w:val="2F2F2F"/>
          <w:sz w:val="21"/>
          <w:szCs w:val="21"/>
        </w:rPr>
        <w:t xml:space="preserve"> lines mark the few open items; italic “for the working session” notes flag design decisions for Brian. A summary of locked decisions and open items sits at the front and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6F2A" w:sz="6"/>
              <w:left w:val="single" w:color="D26F2A" w:sz="6"/>
              <w:bottom w:val="single" w:color="D26F2A" w:sz="6"/>
              <w:right w:val="single" w:color="D26F2A" w:sz="6"/>
            </w:tcBorders>
            <w:shd w:fill="FBF3EC" w:val="clear"/>
            <w:tcMar>
              <w:top w:type="dxa" w:w="120"/>
              <w:left w:type="dxa" w:w="160"/>
              <w:bottom w:type="dxa" w:w="120"/>
              <w:right w:type="dxa" w:w="160"/>
            </w:tcMar>
          </w:tcPr>
          <w:p>
            <w:pPr>
              <w:spacing w:after="70"/>
            </w:pPr>
            <w:r>
              <w:rPr>
                <w:rFonts w:ascii="Arial" w:cs="Arial" w:eastAsia="Arial" w:hAnsi="Arial"/>
                <w:b/>
                <w:bCs/>
                <w:color w:val="D26F2A"/>
                <w:sz w:val="22"/>
                <w:szCs w:val="22"/>
              </w:rPr>
              <w:t xml:space="preserve">Key decisions locked in — the big picture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System of record is Intellidealer, not QuickBooks. QuickBooks Desktop stays as the check-register / accounting destination that QEP OS feeds — for cutting checks and CPA reporting. (This reverses Brian's page-1 assumption.)</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Moving to a business-unit model: a corporate entity over the profit-center branches, with admin cost, per-unit depreciation, and card fees allocated down to each branch.</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New invoice format 01-E1000 = [Branch]-[Department][Sequence], making every invoice number unique company-wide.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Terms moving to a true Net 30, with Net 45 for select large accounts.</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Margin read as a matrix: Parts | Service × Customer | Warranty | Internal | Sublet; shop burden sits below operating expense.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Full AP lives in QEP OS (capture + approval); QuickBooks only cuts the checks.</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Books are balanced monthly and closed quarterly with the CPA (not a monthly hard close).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FET (12% federal excise tax) must be tracked on grapple trucks and bodies.</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Commissions accrue and pay on a month-end cycle.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Go-live cutover: January 1, 2027, with multiple years of history migrated for trending.</w:t>
            </w:r>
          </w:p>
        </w:tc>
      </w:tr>
    </w:tbl>
    <w:p>
      <w:pPr>
        <w:pBdr>
          <w:bottom w:val="single" w:color="D26F2A" w:sz="10" w:space="3"/>
        </w:pBdr>
        <w:spacing w:after="120" w:before="340"/>
      </w:pPr>
      <w:r>
        <w:rPr>
          <w:rFonts w:ascii="Arial" w:cs="Arial" w:eastAsia="Arial" w:hAnsi="Arial"/>
          <w:b/>
          <w:bCs/>
          <w:color w:val="D26F2A"/>
          <w:sz w:val="26"/>
          <w:szCs w:val="26"/>
        </w:rPr>
        <w:t xml:space="preserve">1  </w:t>
      </w:r>
      <w:r>
        <w:rPr>
          <w:rFonts w:ascii="Arial" w:cs="Arial" w:eastAsia="Arial" w:hAnsi="Arial"/>
          <w:b/>
          <w:bCs/>
          <w:color w:val="2F2F2F"/>
          <w:sz w:val="26"/>
          <w:szCs w:val="26"/>
        </w:rPr>
        <w:t xml:space="preserve">System of Record &amp; the QuickBooks Boundary</w:t>
      </w:r>
    </w:p>
    <w:p>
      <w:pPr>
        <w:spacing w:after="70" w:before="200"/>
      </w:pPr>
      <w:r>
        <w:rPr>
          <w:rFonts w:ascii="Arial" w:cs="Arial" w:eastAsia="Arial" w:hAnsi="Arial"/>
          <w:b/>
          <w:bCs/>
          <w:color w:val="D26F2A"/>
          <w:sz w:val="21"/>
          <w:szCs w:val="21"/>
        </w:rPr>
        <w:t xml:space="preserve">1.1  </w:t>
      </w:r>
      <w:r>
        <w:rPr>
          <w:rFonts w:ascii="Arial" w:cs="Arial" w:eastAsia="Arial" w:hAnsi="Arial"/>
          <w:b/>
          <w:bCs/>
          <w:color w:val="2F2F2F"/>
          <w:sz w:val="21"/>
          <w:szCs w:val="21"/>
        </w:rPr>
        <w:t xml:space="preserve">What does QuickBooks do for you today, end to end — and which QuickBooks is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Intellidealer is QEP's core system of record. QuickBooks Desktop currently serves only as a backup to the check register — it is not where the books are run.</w:t>
            </w:r>
          </w:p>
          <w:p>
            <w:pPr>
              <w:spacing w:after="50"/>
            </w:pPr>
            <w:r>
              <w:rPr>
                <w:rFonts w:ascii="Arial" w:cs="Arial" w:eastAsia="Arial" w:hAnsi="Arial"/>
                <w:color w:val="2F2F2F"/>
                <w:sz w:val="21"/>
                <w:szCs w:val="21"/>
              </w:rPr>
              <w:t xml:space="preserve">Payroll runs in ADP; the payroll amounts are loaded into Intellidealer.</w:t>
            </w:r>
          </w:p>
          <w:p>
            <w:pPr>
              <w:spacing w:after="40" w:before="40"/>
            </w:pPr>
            <w:r>
              <w:rPr>
                <w:rFonts w:ascii="Arial" w:cs="Arial" w:eastAsia="Arial" w:hAnsi="Arial"/>
                <w:b/>
                <w:bCs/>
                <w:color w:val="D26F2A"/>
                <w:sz w:val="18"/>
                <w:szCs w:val="18"/>
              </w:rPr>
              <w:t xml:space="preserve">Still to confirm:  </w:t>
            </w:r>
            <w:r>
              <w:rPr>
                <w:rFonts w:ascii="Arial" w:cs="Arial" w:eastAsia="Arial" w:hAnsi="Arial"/>
                <w:color w:val="2F2F2F"/>
                <w:sz w:val="18"/>
                <w:szCs w:val="18"/>
              </w:rPr>
              <w:t xml:space="preserve">Exact QuickBooks Desktop version (believed to be Pro).</w:t>
            </w:r>
          </w:p>
        </w:tc>
      </w:tr>
    </w:tbl>
    <w:p>
      <w:pPr>
        <w:spacing w:after="70" w:before="200"/>
      </w:pPr>
      <w:r>
        <w:rPr>
          <w:rFonts w:ascii="Arial" w:cs="Arial" w:eastAsia="Arial" w:hAnsi="Arial"/>
          <w:b/>
          <w:bCs/>
          <w:color w:val="D26F2A"/>
          <w:sz w:val="21"/>
          <w:szCs w:val="21"/>
        </w:rPr>
        <w:t xml:space="preserve">1.2  </w:t>
      </w:r>
      <w:r>
        <w:rPr>
          <w:rFonts w:ascii="Arial" w:cs="Arial" w:eastAsia="Arial" w:hAnsi="Arial"/>
          <w:b/>
          <w:bCs/>
          <w:color w:val="2F2F2F"/>
          <w:sz w:val="21"/>
          <w:szCs w:val="21"/>
        </w:rPr>
        <w:t xml:space="preserve">As QEP OS takes over invoicing, AR, AP, and reporting, what do you want QuickBooks to keep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Near-term: all records and processing happen in QEP OS; the numbers port into QuickBooks, which keeps the check register and accounting so we can cut checks and hand the CPA clean reports.</w:t>
            </w:r>
          </w:p>
          <w:p>
            <w:pPr>
              <w:spacing w:after="50"/>
            </w:pPr>
            <w:r>
              <w:rPr>
                <w:rFonts w:ascii="Arial" w:cs="Arial" w:eastAsia="Arial" w:hAnsi="Arial"/>
                <w:color w:val="2F2F2F"/>
                <w:sz w:val="21"/>
                <w:szCs w:val="21"/>
              </w:rPr>
              <w:t xml:space="preserve">Long-term: if QEP OS becomes user-friendly enough to stand on its own, retire QuickBooks entirely.</w:t>
            </w:r>
          </w:p>
          <w:p>
            <w:pPr>
              <w:spacing w:after="50"/>
            </w:pPr>
            <w:r>
              <w:rPr>
                <w:rFonts w:ascii="Arial" w:cs="Arial" w:eastAsia="Arial" w:hAnsi="Arial"/>
                <w:color w:val="2F2F2F"/>
                <w:sz w:val="21"/>
                <w:szCs w:val="21"/>
              </w:rPr>
              <w:t xml:space="preserve">Possible future change: drop ADP and move payroll to QuickBooks Payroll.</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This expands QuickBooks' role rather than shrinking it to “pay vendors + collect cash,” and flags payroll as a system that may move before QuickBooks ever retires.</w:t>
            </w:r>
          </w:p>
        </w:tc>
      </w:tr>
    </w:tbl>
    <w:p>
      <w:pPr>
        <w:spacing w:after="70" w:before="200"/>
      </w:pPr>
      <w:r>
        <w:rPr>
          <w:rFonts w:ascii="Arial" w:cs="Arial" w:eastAsia="Arial" w:hAnsi="Arial"/>
          <w:b/>
          <w:bCs/>
          <w:color w:val="D26F2A"/>
          <w:sz w:val="21"/>
          <w:szCs w:val="21"/>
        </w:rPr>
        <w:t xml:space="preserve">1.3  </w:t>
      </w:r>
      <w:r>
        <w:rPr>
          <w:rFonts w:ascii="Arial" w:cs="Arial" w:eastAsia="Arial" w:hAnsi="Arial"/>
          <w:b/>
          <w:bCs/>
          <w:color w:val="2F2F2F"/>
          <w:sz w:val="21"/>
          <w:szCs w:val="21"/>
        </w:rPr>
        <w:t xml:space="preserve">Who on your side is the financial owner of record — the person who closes the books and signs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Tina McKenzie (VP &amp; Controller) makes all closing entries, per Ryan's recommendation. Ryan McKenzie (President) signs off and sends all documentation to the CPA. Chain: Tina prepares → Ryan signs off → CPA.</w:t>
            </w:r>
          </w:p>
        </w:tc>
      </w:tr>
    </w:tbl>
    <w:p>
      <w:pPr>
        <w:spacing w:after="70" w:before="200"/>
      </w:pPr>
      <w:r>
        <w:rPr>
          <w:rFonts w:ascii="Arial" w:cs="Arial" w:eastAsia="Arial" w:hAnsi="Arial"/>
          <w:b/>
          <w:bCs/>
          <w:color w:val="D26F2A"/>
          <w:sz w:val="21"/>
          <w:szCs w:val="21"/>
        </w:rPr>
        <w:t xml:space="preserve">1.4  </w:t>
      </w:r>
      <w:r>
        <w:rPr>
          <w:rFonts w:ascii="Arial" w:cs="Arial" w:eastAsia="Arial" w:hAnsi="Arial"/>
          <w:b/>
          <w:bCs/>
          <w:color w:val="2F2F2F"/>
          <w:sz w:val="21"/>
          <w:szCs w:val="21"/>
        </w:rPr>
        <w:t xml:space="preserve">Are you comfortable running QEP OS and the legacy system side by side until the numbers tie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Yes — run in parallel for at least 2 months. From the cutover date, all new items run through QEP OS while open/old items are finalized in Intellidealer. This allows a clean transition without shutting down the company over software or usage issues.</w:t>
            </w:r>
          </w:p>
          <w:p>
            <w:pPr>
              <w:spacing w:after="50"/>
            </w:pPr>
            <w:r>
              <w:rPr>
                <w:rFonts w:ascii="Arial" w:cs="Arial" w:eastAsia="Arial" w:hAnsi="Arial"/>
                <w:color w:val="2F2F2F"/>
                <w:sz w:val="21"/>
                <w:szCs w:val="21"/>
              </w:rPr>
              <w:t xml:space="preserve">Once the old system is fully closed out, a system adjustment and full data port bring everything into QEP OS. Parts and equipment invoicing should transition cleanly (most invoices close daily). Active/ongoing service work orders are the hardest to close.</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Decide how open service WOs (WIP) are handled at cutover; the “system adjustment” is a set of opening-balance journal entries tying QEP OS to the final legacy trial balance.</w:t>
            </w:r>
          </w:p>
        </w:tc>
      </w:tr>
    </w:tbl>
    <w:p>
      <w:pPr>
        <w:pBdr>
          <w:bottom w:val="single" w:color="D26F2A" w:sz="10" w:space="3"/>
        </w:pBdr>
        <w:spacing w:after="120" w:before="340"/>
      </w:pPr>
      <w:r>
        <w:rPr>
          <w:rFonts w:ascii="Arial" w:cs="Arial" w:eastAsia="Arial" w:hAnsi="Arial"/>
          <w:b/>
          <w:bCs/>
          <w:color w:val="D26F2A"/>
          <w:sz w:val="26"/>
          <w:szCs w:val="26"/>
        </w:rPr>
        <w:t xml:space="preserve">2  </w:t>
      </w:r>
      <w:r>
        <w:rPr>
          <w:rFonts w:ascii="Arial" w:cs="Arial" w:eastAsia="Arial" w:hAnsi="Arial"/>
          <w:b/>
          <w:bCs/>
          <w:color w:val="2F2F2F"/>
          <w:sz w:val="26"/>
          <w:szCs w:val="26"/>
        </w:rPr>
        <w:t xml:space="preserve">Chart of Accounts &amp; How You Read the Business</w:t>
      </w:r>
    </w:p>
    <w:p>
      <w:pPr>
        <w:spacing w:after="70" w:before="200"/>
      </w:pPr>
      <w:r>
        <w:rPr>
          <w:rFonts w:ascii="Arial" w:cs="Arial" w:eastAsia="Arial" w:hAnsi="Arial"/>
          <w:b/>
          <w:bCs/>
          <w:color w:val="D26F2A"/>
          <w:sz w:val="21"/>
          <w:szCs w:val="21"/>
        </w:rPr>
        <w:t xml:space="preserve">2.1  </w:t>
      </w:r>
      <w:r>
        <w:rPr>
          <w:rFonts w:ascii="Arial" w:cs="Arial" w:eastAsia="Arial" w:hAnsi="Arial"/>
          <w:b/>
          <w:bCs/>
          <w:color w:val="2F2F2F"/>
          <w:sz w:val="21"/>
          <w:szCs w:val="21"/>
        </w:rPr>
        <w:t xml:space="preserve">Do you run your P&amp;L by department and by branch? Which breakdowns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Yes — by department and by branch today. QEP is moving to a business-unit model: a corporate entity supporting the profit-center branches, so company resources are shared while each store is held accountable to its own numbers.</w:t>
            </w:r>
          </w:p>
          <w:p>
            <w:pPr>
              <w:spacing w:after="50"/>
            </w:pPr>
            <w:r>
              <w:rPr>
                <w:rFonts w:ascii="Arial" w:cs="Arial" w:eastAsia="Arial" w:hAnsi="Arial"/>
                <w:color w:val="2F2F2F"/>
                <w:sz w:val="21"/>
                <w:szCs w:val="21"/>
              </w:rPr>
              <w:t xml:space="preserve">Allocations: administrative cost is shared down to each branch; depreciation on trucks/equipment is allocated per unit to the responsible department; a planned admin-resource charge will push corporate functions (AR, AP) down to each branch. Payroll is separated by department.</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Confirm the allocation basis for the corporate admin charge (headcount / revenue / transaction volume), and whether inter-branch resource sharing is charged between profit centers.</w:t>
            </w:r>
          </w:p>
        </w:tc>
      </w:tr>
    </w:tbl>
    <w:p>
      <w:pPr>
        <w:spacing w:after="70" w:before="200"/>
      </w:pPr>
      <w:r>
        <w:rPr>
          <w:rFonts w:ascii="Arial" w:cs="Arial" w:eastAsia="Arial" w:hAnsi="Arial"/>
          <w:b/>
          <w:bCs/>
          <w:color w:val="D26F2A"/>
          <w:sz w:val="21"/>
          <w:szCs w:val="21"/>
        </w:rPr>
        <w:t xml:space="preserve">2.2  </w:t>
      </w:r>
      <w:r>
        <w:rPr>
          <w:rFonts w:ascii="Arial" w:cs="Arial" w:eastAsia="Arial" w:hAnsi="Arial"/>
          <w:b/>
          <w:bCs/>
          <w:color w:val="2F2F2F"/>
          <w:sz w:val="21"/>
          <w:szCs w:val="21"/>
        </w:rPr>
        <w:t xml:space="preserve">How do you define margin for your own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Equipment margin = Sale Price − Net Book Value (NBV).</w:t>
            </w:r>
          </w:p>
          <w:p>
            <w:pPr>
              <w:spacing w:after="50"/>
            </w:pPr>
            <w:r>
              <w:rPr>
                <w:rFonts w:ascii="Arial" w:cs="Arial" w:eastAsia="Arial" w:hAnsi="Arial"/>
                <w:color w:val="2F2F2F"/>
                <w:sz w:val="21"/>
                <w:szCs w:val="21"/>
              </w:rPr>
              <w:t xml:space="preserve">Parts margin = Sale Price − Cost.</w:t>
            </w:r>
          </w:p>
          <w:p>
            <w:pPr>
              <w:spacing w:after="50"/>
            </w:pPr>
            <w:r>
              <w:rPr>
                <w:rFonts w:ascii="Arial" w:cs="Arial" w:eastAsia="Arial" w:hAnsi="Arial"/>
                <w:color w:val="2F2F2F"/>
                <w:sz w:val="21"/>
                <w:szCs w:val="21"/>
              </w:rPr>
              <w:t xml:space="preserve">Service margin (watched by WO type) = Labor Sale Total − Cost of Technician Labor.</w:t>
            </w:r>
          </w:p>
          <w:p>
            <w:pPr>
              <w:spacing w:after="50"/>
            </w:pPr>
            <w:r>
              <w:rPr>
                <w:rFonts w:ascii="Arial" w:cs="Arial" w:eastAsia="Arial" w:hAnsi="Arial"/>
                <w:color w:val="2F2F2F"/>
                <w:sz w:val="21"/>
                <w:szCs w:val="21"/>
              </w:rPr>
              <w:t xml:space="preserve">Shop burden is excluded from gross margin — it is carried as a line item below operating expense on that department's P&amp;L, holding the manager accountable to net margin.</w:t>
            </w:r>
          </w:p>
          <w:p>
            <w:pPr>
              <w:spacing w:after="50"/>
            </w:pPr>
            <w:r>
              <w:rPr>
                <w:rFonts w:ascii="Arial" w:cs="Arial" w:eastAsia="Arial" w:hAnsi="Arial"/>
                <w:color w:val="2F2F2F"/>
                <w:sz w:val="21"/>
                <w:szCs w:val="21"/>
              </w:rPr>
              <w:t xml:space="preserve">All parts sell through the Parts department (including parts used on service work orders) and hit the Parts P&amp;L when sold. Parts are tracked as customer-sold vs. shop-sold.</w:t>
            </w:r>
          </w:p>
        </w:tc>
      </w:tr>
    </w:tbl>
    <w:p>
      <w:pPr>
        <w:spacing w:after="70" w:before="200"/>
      </w:pPr>
      <w:r>
        <w:rPr>
          <w:rFonts w:ascii="Arial" w:cs="Arial" w:eastAsia="Arial" w:hAnsi="Arial"/>
          <w:b/>
          <w:bCs/>
          <w:color w:val="D26F2A"/>
          <w:sz w:val="21"/>
          <w:szCs w:val="21"/>
        </w:rPr>
        <w:t xml:space="preserve">2.3  </w:t>
      </w:r>
      <w:r>
        <w:rPr>
          <w:rFonts w:ascii="Arial" w:cs="Arial" w:eastAsia="Arial" w:hAnsi="Arial"/>
          <w:b/>
          <w:bCs/>
          <w:color w:val="2F2F2F"/>
          <w:sz w:val="21"/>
          <w:szCs w:val="21"/>
        </w:rPr>
        <w:t xml:space="preserve">Accounting method, and fiscal year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Accrual basis. Fiscal year end December 31.</w:t>
            </w:r>
          </w:p>
        </w:tc>
      </w:tr>
    </w:tbl>
    <w:p>
      <w:pPr>
        <w:pBdr>
          <w:bottom w:val="single" w:color="D26F2A" w:sz="10" w:space="3"/>
        </w:pBdr>
        <w:spacing w:after="120" w:before="340"/>
      </w:pPr>
      <w:r>
        <w:rPr>
          <w:rFonts w:ascii="Arial" w:cs="Arial" w:eastAsia="Arial" w:hAnsi="Arial"/>
          <w:b/>
          <w:bCs/>
          <w:color w:val="D26F2A"/>
          <w:sz w:val="26"/>
          <w:szCs w:val="26"/>
        </w:rPr>
        <w:t xml:space="preserve">3  </w:t>
      </w:r>
      <w:r>
        <w:rPr>
          <w:rFonts w:ascii="Arial" w:cs="Arial" w:eastAsia="Arial" w:hAnsi="Arial"/>
          <w:b/>
          <w:bCs/>
          <w:color w:val="2F2F2F"/>
          <w:sz w:val="26"/>
          <w:szCs w:val="26"/>
        </w:rPr>
        <w:t xml:space="preserve">Invoicing</w:t>
      </w:r>
    </w:p>
    <w:p>
      <w:pPr>
        <w:spacing w:after="70" w:before="200"/>
      </w:pPr>
      <w:r>
        <w:rPr>
          <w:rFonts w:ascii="Arial" w:cs="Arial" w:eastAsia="Arial" w:hAnsi="Arial"/>
          <w:b/>
          <w:bCs/>
          <w:color w:val="D26F2A"/>
          <w:sz w:val="21"/>
          <w:szCs w:val="21"/>
        </w:rPr>
        <w:t xml:space="preserve">3.1  </w:t>
      </w:r>
      <w:r>
        <w:rPr>
          <w:rFonts w:ascii="Arial" w:cs="Arial" w:eastAsia="Arial" w:hAnsi="Arial"/>
          <w:b/>
          <w:bCs/>
          <w:color w:val="2F2F2F"/>
          <w:sz w:val="21"/>
          <w:szCs w:val="21"/>
        </w:rPr>
        <w:t xml:space="preserve">Which departments create invoices, and how is numbering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Departments that invoice: Equipment, Rental, Parts, Service. Department prefixes: E (Equipment), R (Rental), P (Parts), W (Service).</w:t>
            </w:r>
          </w:p>
          <w:p>
            <w:pPr>
              <w:spacing w:after="50"/>
            </w:pPr>
            <w:r>
              <w:rPr>
                <w:rFonts w:ascii="Arial" w:cs="Arial" w:eastAsia="Arial" w:hAnsi="Arial"/>
                <w:color w:val="2F2F2F"/>
                <w:sz w:val="21"/>
                <w:szCs w:val="21"/>
              </w:rPr>
              <w:t xml:space="preserve">Numbering is separated by department and branch. Legacy branch IDs: 01 = Lake City, 02 = Belleview.</w:t>
            </w:r>
          </w:p>
          <w:p>
            <w:pPr>
              <w:spacing w:after="50"/>
            </w:pPr>
            <w:r>
              <w:rPr>
                <w:rFonts w:ascii="Arial" w:cs="Arial" w:eastAsia="Arial" w:hAnsi="Arial"/>
                <w:color w:val="2F2F2F"/>
                <w:sz w:val="21"/>
                <w:szCs w:val="21"/>
              </w:rPr>
              <w:t xml:space="preserve">New format (decision): 01-E1000 = [Branch]-[Department][Sequence]. Example: Belleview service = 02-W1000. This makes every invoice number unique company-wide, fixing today's issue where the same number can exist in both branches with no branch signifier.</w:t>
            </w:r>
          </w:p>
        </w:tc>
      </w:tr>
    </w:tbl>
    <w:p>
      <w:pPr>
        <w:spacing w:after="70" w:before="200"/>
      </w:pPr>
      <w:r>
        <w:rPr>
          <w:rFonts w:ascii="Arial" w:cs="Arial" w:eastAsia="Arial" w:hAnsi="Arial"/>
          <w:b/>
          <w:bCs/>
          <w:color w:val="D26F2A"/>
          <w:sz w:val="21"/>
          <w:szCs w:val="21"/>
        </w:rPr>
        <w:t xml:space="preserve">3.2  </w:t>
      </w:r>
      <w:r>
        <w:rPr>
          <w:rFonts w:ascii="Arial" w:cs="Arial" w:eastAsia="Arial" w:hAnsi="Arial"/>
          <w:b/>
          <w:bCs/>
          <w:color w:val="2F2F2F"/>
          <w:sz w:val="21"/>
          <w:szCs w:val="21"/>
        </w:rPr>
        <w:t xml:space="preserve">What has to appear on a customer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Disclosures vary by invoice type. On the Parts (charged) invoice: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Billing/remittance: “INVOICE(S) ASSIGNED TO AND BILLED BY: QUALITY EQUIPMENT &amp; PARTS” and “MAKE CHECKS PAYABLE TO VENDOR &amp; REMIT TO: 4894 NW US Highway 41, Lake City, Florida 32055.”</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Disclaimer: No refunds without this invoice; no returns after 30 days; 25% restocking fee on special orders; no returns on electrical parts; monthly surcharge of 1.5% of the outstanding balance on items past due over 30 days, not to exceed the lawful maximum; cash sales over $10,000 reported to the IRS.</w:t>
            </w:r>
          </w:p>
          <w:p>
            <w:pPr>
              <w:spacing w:after="50"/>
            </w:pPr>
            <w:r>
              <w:rPr>
                <w:rFonts w:ascii="Arial" w:cs="Arial" w:eastAsia="Arial" w:hAnsi="Arial"/>
                <w:color w:val="2F2F2F"/>
                <w:sz w:val="21"/>
                <w:szCs w:val="21"/>
              </w:rPr>
              <w:t xml:space="preserve">Equipment, Rental, and Service invoice disclosures will be captured from the attached sample invoices.</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The “assigned to / make checks payable to vendor” language reflects floor-plan financing (see 5.2). The $10,000 cash line is a Form 8300 obligation (see 8.2).</w:t>
            </w:r>
          </w:p>
        </w:tc>
      </w:tr>
    </w:tbl>
    <w:p>
      <w:pPr>
        <w:spacing w:after="70" w:before="200"/>
      </w:pPr>
      <w:r>
        <w:rPr>
          <w:rFonts w:ascii="Arial" w:cs="Arial" w:eastAsia="Arial" w:hAnsi="Arial"/>
          <w:b/>
          <w:bCs/>
          <w:color w:val="D26F2A"/>
          <w:sz w:val="21"/>
          <w:szCs w:val="21"/>
        </w:rPr>
        <w:t xml:space="preserve">3.3  </w:t>
      </w:r>
      <w:r>
        <w:rPr>
          <w:rFonts w:ascii="Arial" w:cs="Arial" w:eastAsia="Arial" w:hAnsi="Arial"/>
          <w:b/>
          <w:bCs/>
          <w:color w:val="2F2F2F"/>
          <w:sz w:val="21"/>
          <w:szCs w:val="21"/>
        </w:rPr>
        <w:t xml:space="preserve">Standard payment terms by customer type, and special-terms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Current terms: Net 10, end of month. Changing to a true Net 30 as the standard. A few larger accounts require Net 45.</w:t>
            </w:r>
          </w:p>
          <w:p>
            <w:pPr>
              <w:spacing w:after="50"/>
            </w:pPr>
            <w:r>
              <w:rPr>
                <w:rFonts w:ascii="Arial" w:cs="Arial" w:eastAsia="Arial" w:hAnsi="Arial"/>
                <w:color w:val="2F2F2F"/>
                <w:sz w:val="21"/>
                <w:szCs w:val="21"/>
              </w:rPr>
              <w:t xml:space="preserve">The legacy system can't properly enforce different terms, so large accounts are run on the standard structure and let slide. QEP OS must hold true per-customer terms (Net 30 default; Net 45 assigned to specific accounts) so aging and enforcement are accurate.</w:t>
            </w:r>
          </w:p>
          <w:p>
            <w:pPr>
              <w:spacing w:after="40" w:before="40"/>
            </w:pPr>
            <w:r>
              <w:rPr>
                <w:rFonts w:ascii="Arial" w:cs="Arial" w:eastAsia="Arial" w:hAnsi="Arial"/>
                <w:b/>
                <w:bCs/>
                <w:color w:val="D26F2A"/>
                <w:sz w:val="18"/>
                <w:szCs w:val="18"/>
              </w:rPr>
              <w:t xml:space="preserve">Still to confirm:  </w:t>
            </w:r>
            <w:r>
              <w:rPr>
                <w:rFonts w:ascii="Arial" w:cs="Arial" w:eastAsia="Arial" w:hAnsi="Arial"/>
                <w:color w:val="2F2F2F"/>
                <w:sz w:val="18"/>
                <w:szCs w:val="18"/>
              </w:rPr>
              <w:t xml:space="preserve">Net 45 accounts to be identified and assigned during setup.</w:t>
            </w:r>
          </w:p>
        </w:tc>
      </w:tr>
    </w:tbl>
    <w:p>
      <w:pPr>
        <w:spacing w:after="70" w:before="200"/>
      </w:pPr>
      <w:r>
        <w:rPr>
          <w:rFonts w:ascii="Arial" w:cs="Arial" w:eastAsia="Arial" w:hAnsi="Arial"/>
          <w:b/>
          <w:bCs/>
          <w:color w:val="D26F2A"/>
          <w:sz w:val="21"/>
          <w:szCs w:val="21"/>
        </w:rPr>
        <w:t xml:space="preserve">3.4  </w:t>
      </w:r>
      <w:r>
        <w:rPr>
          <w:rFonts w:ascii="Arial" w:cs="Arial" w:eastAsia="Arial" w:hAnsi="Arial"/>
          <w:b/>
          <w:bCs/>
          <w:color w:val="2F2F2F"/>
          <w:sz w:val="21"/>
          <w:szCs w:val="21"/>
        </w:rPr>
        <w:t xml:space="preserve">How do deposits and down payments work, and how do they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Sale deposits (Parts, Service, Equipment): collected per department policy and added to the invoice as a form of payment. They sit in a subledgered liability account on the balance sheet until the invoice closes; on close, the sale is recorded and the deposit is applied as partial payment.</w:t>
            </w:r>
          </w:p>
          <w:p>
            <w:pPr>
              <w:spacing w:after="50"/>
            </w:pPr>
            <w:r>
              <w:rPr>
                <w:rFonts w:ascii="Arial" w:cs="Arial" w:eastAsia="Arial" w:hAnsi="Arial"/>
                <w:color w:val="2F2F2F"/>
                <w:sz w:val="21"/>
                <w:szCs w:val="21"/>
              </w:rPr>
              <w:t xml:space="preserve">Rental security deposits: held in a separate balance-sheet account until the machine is returned in good working order. Returned clean → refunded per policy. Returned damaged → applied first to damages; any shortfall billed to the customer; any remainder refunded per policy.</w:t>
            </w:r>
          </w:p>
        </w:tc>
      </w:tr>
    </w:tbl>
    <w:p>
      <w:pPr>
        <w:spacing w:after="70" w:before="200"/>
      </w:pPr>
      <w:r>
        <w:rPr>
          <w:rFonts w:ascii="Arial" w:cs="Arial" w:eastAsia="Arial" w:hAnsi="Arial"/>
          <w:b/>
          <w:bCs/>
          <w:color w:val="D26F2A"/>
          <w:sz w:val="21"/>
          <w:szCs w:val="21"/>
        </w:rPr>
        <w:t xml:space="preserve">3.5  </w:t>
      </w:r>
      <w:r>
        <w:rPr>
          <w:rFonts w:ascii="Arial" w:cs="Arial" w:eastAsia="Arial" w:hAnsi="Arial"/>
          <w:b/>
          <w:bCs/>
          <w:color w:val="2F2F2F"/>
          <w:sz w:val="21"/>
          <w:szCs w:val="21"/>
        </w:rPr>
        <w:t xml:space="preserve">Sales tax on invoices, and how you track resale / exemption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Tax is destination-based: calculated on the Ship-To location for deliveries. Counter/in-store sales use the store's county rate (Columbia 01 / Marion 02). Florida state 6% plus applicable county surtax (already in the quote tool).</w:t>
            </w:r>
          </w:p>
          <w:p>
            <w:pPr>
              <w:spacing w:after="50"/>
            </w:pPr>
            <w:r>
              <w:rPr>
                <w:rFonts w:ascii="Arial" w:cs="Arial" w:eastAsia="Arial" w:hAnsi="Arial"/>
                <w:color w:val="2F2F2F"/>
                <w:sz w:val="21"/>
                <w:szCs w:val="21"/>
              </w:rPr>
              <w:t xml:space="preserve">Exemptions are stored in the customer profile (customer multimedia), which auto-flags the invoice as tax-exempt.</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Destination sourcing requires a full Florida county-rate table, not just the two home counties. Recommend storing resale/exemption certificates with an expiration/renewal flag so expired certs don't keep auto-exempting.</w:t>
            </w:r>
          </w:p>
        </w:tc>
      </w:tr>
    </w:tbl>
    <w:p>
      <w:pPr>
        <w:pBdr>
          <w:bottom w:val="single" w:color="D26F2A" w:sz="10" w:space="3"/>
        </w:pBdr>
        <w:spacing w:after="120" w:before="340"/>
      </w:pPr>
      <w:r>
        <w:rPr>
          <w:rFonts w:ascii="Arial" w:cs="Arial" w:eastAsia="Arial" w:hAnsi="Arial"/>
          <w:b/>
          <w:bCs/>
          <w:color w:val="D26F2A"/>
          <w:sz w:val="26"/>
          <w:szCs w:val="26"/>
        </w:rPr>
        <w:t xml:space="preserve">4  </w:t>
      </w:r>
      <w:r>
        <w:rPr>
          <w:rFonts w:ascii="Arial" w:cs="Arial" w:eastAsia="Arial" w:hAnsi="Arial"/>
          <w:b/>
          <w:bCs/>
          <w:color w:val="2F2F2F"/>
          <w:sz w:val="26"/>
          <w:szCs w:val="26"/>
        </w:rPr>
        <w:t xml:space="preserve">Accounts Receivable</w:t>
      </w:r>
    </w:p>
    <w:p>
      <w:pPr>
        <w:spacing w:after="70" w:before="200"/>
      </w:pPr>
      <w:r>
        <w:rPr>
          <w:rFonts w:ascii="Arial" w:cs="Arial" w:eastAsia="Arial" w:hAnsi="Arial"/>
          <w:b/>
          <w:bCs/>
          <w:color w:val="D26F2A"/>
          <w:sz w:val="21"/>
          <w:szCs w:val="21"/>
        </w:rPr>
        <w:t xml:space="preserve">4.1  </w:t>
      </w:r>
      <w:r>
        <w:rPr>
          <w:rFonts w:ascii="Arial" w:cs="Arial" w:eastAsia="Arial" w:hAnsi="Arial"/>
          <w:b/>
          <w:bCs/>
          <w:color w:val="2F2F2F"/>
          <w:sz w:val="21"/>
          <w:szCs w:val="21"/>
        </w:rPr>
        <w:t xml:space="preserve">Statements, aging buckets, and finance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Statements sent on the 1st of every month. Aging buckets: Current / 1–30 / 31–60 / 61–90 / 90+.</w:t>
            </w:r>
          </w:p>
          <w:p>
            <w:pPr>
              <w:spacing w:after="50"/>
            </w:pPr>
            <w:r>
              <w:rPr>
                <w:rFonts w:ascii="Arial" w:cs="Arial" w:eastAsia="Arial" w:hAnsi="Arial"/>
                <w:color w:val="2F2F2F"/>
                <w:sz w:val="21"/>
                <w:szCs w:val="21"/>
              </w:rPr>
              <w:t xml:space="preserve">Finance charge: 1.5% per month on balances past due over 30 days, not to exceed the lawful maximum. Credit-hold policy: customers are cut off at the 60-day mark for non-payment.</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On true Net 30, 60 days = a full cycle past due — recommend QEP OS auto-flag or auto-hold accounts crossing 60 days.</w:t>
            </w:r>
          </w:p>
        </w:tc>
      </w:tr>
    </w:tbl>
    <w:p>
      <w:pPr>
        <w:spacing w:after="70" w:before="200"/>
      </w:pPr>
      <w:r>
        <w:rPr>
          <w:rFonts w:ascii="Arial" w:cs="Arial" w:eastAsia="Arial" w:hAnsi="Arial"/>
          <w:b/>
          <w:bCs/>
          <w:color w:val="D26F2A"/>
          <w:sz w:val="21"/>
          <w:szCs w:val="21"/>
        </w:rPr>
        <w:t xml:space="preserve">4.2  </w:t>
      </w:r>
      <w:r>
        <w:rPr>
          <w:rFonts w:ascii="Arial" w:cs="Arial" w:eastAsia="Arial" w:hAnsi="Arial"/>
          <w:b/>
          <w:bCs/>
          <w:color w:val="2F2F2F"/>
          <w:sz w:val="21"/>
          <w:szCs w:val="21"/>
        </w:rPr>
        <w:t xml:space="preserve">Credit limits, and who approves credit and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Credit limits are set per customer. New in-house accounts / credit are approved by Tina or Ryan. Credit holds are released by Tina or the AR clerk, based on the customer being in good standing. The GM does not handle the charge-account / accounting function.</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Enforce the per-customer credit limit at point of sale — flag or block a charge that would push a customer over their limit.</w:t>
            </w:r>
          </w:p>
        </w:tc>
      </w:tr>
    </w:tbl>
    <w:p>
      <w:pPr>
        <w:spacing w:after="70" w:before="200"/>
      </w:pPr>
      <w:r>
        <w:rPr>
          <w:rFonts w:ascii="Arial" w:cs="Arial" w:eastAsia="Arial" w:hAnsi="Arial"/>
          <w:b/>
          <w:bCs/>
          <w:color w:val="D26F2A"/>
          <w:sz w:val="21"/>
          <w:szCs w:val="21"/>
        </w:rPr>
        <w:t xml:space="preserve">4.3  </w:t>
      </w:r>
      <w:r>
        <w:rPr>
          <w:rFonts w:ascii="Arial" w:cs="Arial" w:eastAsia="Arial" w:hAnsi="Arial"/>
          <w:b/>
          <w:bCs/>
          <w:color w:val="2F2F2F"/>
          <w:sz w:val="21"/>
          <w:szCs w:val="21"/>
        </w:rPr>
        <w:t xml:space="preserve">How are payments received/applied, and do you use partials and credit memos?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Payment methods: check, cash, ACH/bank transfer, card (Worldpay), plus lender/financing payoff on equipment deals. Partial payments are allowed against a charge account.</w:t>
            </w:r>
          </w:p>
          <w:p>
            <w:pPr>
              <w:spacing w:after="50"/>
            </w:pPr>
            <w:r>
              <w:rPr>
                <w:rFonts w:ascii="Arial" w:cs="Arial" w:eastAsia="Arial" w:hAnsi="Arial"/>
                <w:color w:val="2F2F2F"/>
                <w:sz w:val="21"/>
                <w:szCs w:val="21"/>
              </w:rPr>
              <w:t xml:space="preserve">Credit memos — approval by reason: a simple parts return within policy is handled by the counter parts rep; anything outside return policy requires a department manager; a goodwill credit must be issued by a GM or higher.</w:t>
            </w:r>
          </w:p>
          <w:p>
            <w:pPr>
              <w:spacing w:after="50"/>
            </w:pPr>
            <w:r>
              <w:rPr>
                <w:rFonts w:ascii="Arial" w:cs="Arial" w:eastAsia="Arial" w:hAnsi="Arial"/>
                <w:color w:val="2F2F2F"/>
                <w:sz w:val="21"/>
                <w:szCs w:val="21"/>
              </w:rPr>
              <w:t xml:space="preserve">A credit memo posts as an open credit on the customer's account, applicable to any future or open invoice.</w:t>
            </w:r>
          </w:p>
        </w:tc>
      </w:tr>
    </w:tbl>
    <w:p>
      <w:pPr>
        <w:spacing w:after="70" w:before="200"/>
      </w:pPr>
      <w:r>
        <w:rPr>
          <w:rFonts w:ascii="Arial" w:cs="Arial" w:eastAsia="Arial" w:hAnsi="Arial"/>
          <w:b/>
          <w:bCs/>
          <w:color w:val="D26F2A"/>
          <w:sz w:val="21"/>
          <w:szCs w:val="21"/>
        </w:rPr>
        <w:t xml:space="preserve">4.4  </w:t>
      </w:r>
      <w:r>
        <w:rPr>
          <w:rFonts w:ascii="Arial" w:cs="Arial" w:eastAsia="Arial" w:hAnsi="Arial"/>
          <w:b/>
          <w:bCs/>
          <w:color w:val="2F2F2F"/>
          <w:sz w:val="21"/>
          <w:szCs w:val="21"/>
        </w:rPr>
        <w:t xml:space="preserve">When a booked equipment sale has to be reversed, what's the process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QEP does not unwind machine deals — once booked, an equipment sale stands. The only reversal scenario is a mechanical correction to an invoice that was improperly closed, which is handled by the Sales Department Manager or the Iron Manager (Rylee).</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Treat an invoice correction/reopen as an audited event — log who corrected it and why — so booked-and-corrected invoices stay traceable during parallel run and for the CPA.</w:t>
            </w:r>
          </w:p>
        </w:tc>
      </w:tr>
    </w:tbl>
    <w:p>
      <w:pPr>
        <w:pBdr>
          <w:bottom w:val="single" w:color="D26F2A" w:sz="10" w:space="3"/>
        </w:pBdr>
        <w:spacing w:after="120" w:before="340"/>
      </w:pPr>
      <w:r>
        <w:rPr>
          <w:rFonts w:ascii="Arial" w:cs="Arial" w:eastAsia="Arial" w:hAnsi="Arial"/>
          <w:b/>
          <w:bCs/>
          <w:color w:val="D26F2A"/>
          <w:sz w:val="26"/>
          <w:szCs w:val="26"/>
        </w:rPr>
        <w:t xml:space="preserve">5  </w:t>
      </w:r>
      <w:r>
        <w:rPr>
          <w:rFonts w:ascii="Arial" w:cs="Arial" w:eastAsia="Arial" w:hAnsi="Arial"/>
          <w:b/>
          <w:bCs/>
          <w:color w:val="2F2F2F"/>
          <w:sz w:val="26"/>
          <w:szCs w:val="26"/>
        </w:rPr>
        <w:t xml:space="preserve">Accounts Payable &amp; Floor Plan</w:t>
      </w:r>
    </w:p>
    <w:p>
      <w:pPr>
        <w:spacing w:after="70" w:before="200"/>
      </w:pPr>
      <w:r>
        <w:rPr>
          <w:rFonts w:ascii="Arial" w:cs="Arial" w:eastAsia="Arial" w:hAnsi="Arial"/>
          <w:b/>
          <w:bCs/>
          <w:color w:val="D26F2A"/>
          <w:sz w:val="21"/>
          <w:szCs w:val="21"/>
        </w:rPr>
        <w:t xml:space="preserve">5.1  </w:t>
      </w:r>
      <w:r>
        <w:rPr>
          <w:rFonts w:ascii="Arial" w:cs="Arial" w:eastAsia="Arial" w:hAnsi="Arial"/>
          <w:b/>
          <w:bCs/>
          <w:color w:val="2F2F2F"/>
          <w:sz w:val="21"/>
          <w:szCs w:val="21"/>
        </w:rPr>
        <w:t xml:space="preserve">What does QEP OS need on the AP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Full AP in QEP OS: vendor bill capture, PO/receipt matching, and approval routing all live in QEP OS. Approved bills port to QuickBooks, which only cuts the checks and holds the accounting record for CPA reporting. Vendor cost data is native to QEP OS, so job costing and margin are accurate at the source.</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Build a three-way match (PO → receipt → bill) before approval, and tight AP sync so a bill can't be paid twice across the two systems.</w:t>
            </w:r>
          </w:p>
        </w:tc>
      </w:tr>
    </w:tbl>
    <w:p>
      <w:pPr>
        <w:spacing w:after="70" w:before="200"/>
      </w:pPr>
      <w:r>
        <w:rPr>
          <w:rFonts w:ascii="Arial" w:cs="Arial" w:eastAsia="Arial" w:hAnsi="Arial"/>
          <w:b/>
          <w:bCs/>
          <w:color w:val="D26F2A"/>
          <w:sz w:val="21"/>
          <w:szCs w:val="21"/>
        </w:rPr>
        <w:t xml:space="preserve">5.2  </w:t>
      </w:r>
      <w:r>
        <w:rPr>
          <w:rFonts w:ascii="Arial" w:cs="Arial" w:eastAsia="Arial" w:hAnsi="Arial"/>
          <w:b/>
          <w:bCs/>
          <w:color w:val="2F2F2F"/>
          <w:sz w:val="21"/>
          <w:szCs w:val="21"/>
        </w:rPr>
        <w:t xml:space="preserve">Floor plan lenders, and how you track interest, curtailments, and payoff?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Floor-plan providers: Wells Fargo, Bank of Oklahoma, Northpoint Financial, Incredible Bank, US Bank, Mitsubishi Finance.</w:t>
            </w:r>
          </w:p>
          <w:p>
            <w:pPr>
              <w:spacing w:after="50"/>
            </w:pPr>
            <w:r>
              <w:rPr>
                <w:rFonts w:ascii="Arial" w:cs="Arial" w:eastAsia="Arial" w:hAnsi="Arial"/>
                <w:color w:val="2F2F2F"/>
                <w:sz w:val="21"/>
                <w:szCs w:val="21"/>
              </w:rPr>
              <w:t xml:space="preserve">Tracking: unit-level detail (by serial/stock number) that rolls up to the lender — giving both a single machine's status and total exposure per lender. Interest accrues per unit. Curtailments and payoff terms vary by lender, so lender-specific rules must be configurable.</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Gather each lender's curtailment schedule/terms (Tina). Payoff triggers against the serial number when a unit sells and reconciles to the lender.</w:t>
            </w:r>
          </w:p>
        </w:tc>
      </w:tr>
    </w:tbl>
    <w:p>
      <w:pPr>
        <w:spacing w:after="70" w:before="200"/>
      </w:pPr>
      <w:r>
        <w:rPr>
          <w:rFonts w:ascii="Arial" w:cs="Arial" w:eastAsia="Arial" w:hAnsi="Arial"/>
          <w:b/>
          <w:bCs/>
          <w:color w:val="D26F2A"/>
          <w:sz w:val="21"/>
          <w:szCs w:val="21"/>
        </w:rPr>
        <w:t xml:space="preserve">5.3  </w:t>
      </w:r>
      <w:r>
        <w:rPr>
          <w:rFonts w:ascii="Arial" w:cs="Arial" w:eastAsia="Arial" w:hAnsi="Arial"/>
          <w:b/>
          <w:bCs/>
          <w:color w:val="2F2F2F"/>
          <w:sz w:val="21"/>
          <w:szCs w:val="21"/>
        </w:rPr>
        <w:t xml:space="preserve">Expense and receipt capture — how categorized, and who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Expenses are incurred through a mix of company credit cards, employee reimbursements, and direct vendor bills. Tina / accounting codes everything centrally to the chart of accounts (by department/branch). Receipts live in OneDrive; QEP OS can pull them automatically.</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Card-feed coding rules and OneDrive receipt matching can reduce the manual coding load as volume grows across two branches.</w:t>
            </w:r>
          </w:p>
        </w:tc>
      </w:tr>
    </w:tbl>
    <w:p>
      <w:pPr>
        <w:pBdr>
          <w:bottom w:val="single" w:color="D26F2A" w:sz="10" w:space="3"/>
        </w:pBdr>
        <w:spacing w:after="120" w:before="340"/>
      </w:pPr>
      <w:r>
        <w:rPr>
          <w:rFonts w:ascii="Arial" w:cs="Arial" w:eastAsia="Arial" w:hAnsi="Arial"/>
          <w:b/>
          <w:bCs/>
          <w:color w:val="D26F2A"/>
          <w:sz w:val="26"/>
          <w:szCs w:val="26"/>
        </w:rPr>
        <w:t xml:space="preserve">6  </w:t>
      </w:r>
      <w:r>
        <w:rPr>
          <w:rFonts w:ascii="Arial" w:cs="Arial" w:eastAsia="Arial" w:hAnsi="Arial"/>
          <w:b/>
          <w:bCs/>
          <w:color w:val="2F2F2F"/>
          <w:sz w:val="26"/>
          <w:szCs w:val="26"/>
        </w:rPr>
        <w:t xml:space="preserve">Revenue Split &amp; Internal Costing</w:t>
      </w:r>
    </w:p>
    <w:p>
      <w:pPr>
        <w:spacing w:after="70" w:before="200"/>
      </w:pPr>
      <w:r>
        <w:rPr>
          <w:rFonts w:ascii="Arial" w:cs="Arial" w:eastAsia="Arial" w:hAnsi="Arial"/>
          <w:b/>
          <w:bCs/>
          <w:color w:val="D26F2A"/>
          <w:sz w:val="21"/>
          <w:szCs w:val="21"/>
        </w:rPr>
        <w:t xml:space="preserve">6.1  </w:t>
      </w:r>
      <w:r>
        <w:rPr>
          <w:rFonts w:ascii="Arial" w:cs="Arial" w:eastAsia="Arial" w:hAnsi="Arial"/>
          <w:b/>
          <w:bCs/>
          <w:color w:val="2F2F2F"/>
          <w:sz w:val="21"/>
          <w:szCs w:val="21"/>
        </w:rPr>
        <w:t xml:space="preserve">On a mixed job, how should revenue split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Everything lands in Parts or Service by nature: parts → Parts P&amp;L, labor → Service P&amp;L. Hauling/freight folds into Service; sublet is coded to Service.</w:t>
            </w:r>
          </w:p>
          <w:p>
            <w:pPr>
              <w:spacing w:after="50"/>
            </w:pPr>
            <w:r>
              <w:rPr>
                <w:rFonts w:ascii="Arial" w:cs="Arial" w:eastAsia="Arial" w:hAnsi="Arial"/>
                <w:color w:val="2F2F2F"/>
                <w:sz w:val="21"/>
                <w:szCs w:val="21"/>
              </w:rPr>
              <w:t xml:space="preserve">Within each department, revenue and margin are tagged by segment: Customer, Warranty, Internal, and Sublet. Warranty and internal are not standalone P&amp;Ls — they are margin tags living inside Parts and Service.</w:t>
            </w:r>
          </w:p>
          <w:p>
            <w:pPr>
              <w:spacing w:after="50"/>
            </w:pPr>
            <w:r>
              <w:rPr>
                <w:rFonts w:ascii="Arial" w:cs="Arial" w:eastAsia="Arial" w:hAnsi="Arial"/>
                <w:color w:val="2F2F2F"/>
                <w:sz w:val="21"/>
                <w:szCs w:val="21"/>
              </w:rPr>
              <w:t xml:space="preserve">Reporting matrix: [Parts | Service] × [Customer | Warranty | Internal | Sublet], each cell showing revenue, cost, and margin.</w:t>
            </w:r>
          </w:p>
        </w:tc>
      </w:tr>
    </w:tbl>
    <w:p>
      <w:pPr>
        <w:spacing w:after="70" w:before="200"/>
      </w:pPr>
      <w:r>
        <w:rPr>
          <w:rFonts w:ascii="Arial" w:cs="Arial" w:eastAsia="Arial" w:hAnsi="Arial"/>
          <w:b/>
          <w:bCs/>
          <w:color w:val="D26F2A"/>
          <w:sz w:val="21"/>
          <w:szCs w:val="21"/>
        </w:rPr>
        <w:t xml:space="preserve">6.2  </w:t>
      </w:r>
      <w:r>
        <w:rPr>
          <w:rFonts w:ascii="Arial" w:cs="Arial" w:eastAsia="Arial" w:hAnsi="Arial"/>
          <w:b/>
          <w:bCs/>
          <w:color w:val="2F2F2F"/>
          <w:sz w:val="21"/>
          <w:szCs w:val="21"/>
        </w:rPr>
        <w:t xml:space="preserve">How should internal work orders be costed?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Internal WO labor is costed at door rate minus 10%; internal WO parts at cost plus markup. This applies to internal jobs such as new-equipment prep and rental service; results split to the Parts/Service P&amp;Ls and are tagged Internal so internal-order margin is measurable.</w:t>
            </w:r>
          </w:p>
          <w:p>
            <w:pPr>
              <w:spacing w:after="40" w:before="40"/>
            </w:pPr>
            <w:r>
              <w:rPr>
                <w:rFonts w:ascii="Arial" w:cs="Arial" w:eastAsia="Arial" w:hAnsi="Arial"/>
                <w:b/>
                <w:bCs/>
                <w:color w:val="D26F2A"/>
                <w:sz w:val="18"/>
                <w:szCs w:val="18"/>
              </w:rPr>
              <w:t xml:space="preserve">Still to confirm:  </w:t>
            </w:r>
            <w:r>
              <w:rPr>
                <w:rFonts w:ascii="Arial" w:cs="Arial" w:eastAsia="Arial" w:hAnsi="Arial"/>
                <w:color w:val="2F2F2F"/>
                <w:sz w:val="18"/>
                <w:szCs w:val="18"/>
              </w:rPr>
              <w:t xml:space="preserve">Door rate ($) and internal parts markup (%) to be supplied.</w:t>
            </w:r>
          </w:p>
        </w:tc>
      </w:tr>
    </w:tbl>
    <w:p>
      <w:pPr>
        <w:spacing w:after="70" w:before="200"/>
      </w:pPr>
      <w:r>
        <w:rPr>
          <w:rFonts w:ascii="Arial" w:cs="Arial" w:eastAsia="Arial" w:hAnsi="Arial"/>
          <w:b/>
          <w:bCs/>
          <w:color w:val="D26F2A"/>
          <w:sz w:val="21"/>
          <w:szCs w:val="21"/>
        </w:rPr>
        <w:t xml:space="preserve">6.3  </w:t>
      </w:r>
      <w:r>
        <w:rPr>
          <w:rFonts w:ascii="Arial" w:cs="Arial" w:eastAsia="Arial" w:hAnsi="Arial"/>
          <w:b/>
          <w:bCs/>
          <w:color w:val="2F2F2F"/>
          <w:sz w:val="21"/>
          <w:szCs w:val="21"/>
        </w:rPr>
        <w:t xml:space="preserve">Trade-ins — booking against inventory, and reconditioning?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A trade-in is booked to inventory at the agreed trade allowance minus any over-allowance built into the backside of the deal — so inventory reflects the unit's true value, and the over-allowance reduces the new-unit sale margin where it belongs. Reconditioning costs are added to the unit's cost basis via an internal work order.</w:t>
            </w:r>
          </w:p>
        </w:tc>
      </w:tr>
    </w:tbl>
    <w:p>
      <w:pPr>
        <w:spacing w:after="70" w:before="200"/>
      </w:pPr>
      <w:r>
        <w:rPr>
          <w:rFonts w:ascii="Arial" w:cs="Arial" w:eastAsia="Arial" w:hAnsi="Arial"/>
          <w:b/>
          <w:bCs/>
          <w:color w:val="D26F2A"/>
          <w:sz w:val="21"/>
          <w:szCs w:val="21"/>
        </w:rPr>
        <w:t xml:space="preserve">6.4  </w:t>
      </w:r>
      <w:r>
        <w:rPr>
          <w:rFonts w:ascii="Arial" w:cs="Arial" w:eastAsia="Arial" w:hAnsi="Arial"/>
          <w:b/>
          <w:bCs/>
          <w:color w:val="2F2F2F"/>
          <w:sz w:val="21"/>
          <w:szCs w:val="21"/>
        </w:rPr>
        <w:t xml:space="preserve">Sales commissions — calculation and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Equipment sale commission = 15% of full margin (Sale Price − NBV). Rental commission = 5% of gross rent collected, with clawback on returned rent. Rental buydown = 40% per payment, reducing the unit's cost basis.</w:t>
            </w:r>
          </w:p>
          <w:p>
            <w:pPr>
              <w:spacing w:after="50"/>
            </w:pPr>
            <w:r>
              <w:rPr>
                <w:rFonts w:ascii="Arial" w:cs="Arial" w:eastAsia="Arial" w:hAnsi="Arial"/>
                <w:color w:val="2F2F2F"/>
                <w:sz w:val="21"/>
                <w:szCs w:val="21"/>
              </w:rPr>
              <w:t xml:space="preserve">Timing: commissions are accrued and paid on a month-end cycle (consistent with accrual basis).</w:t>
            </w:r>
          </w:p>
        </w:tc>
      </w:tr>
    </w:tbl>
    <w:p>
      <w:pPr>
        <w:pBdr>
          <w:bottom w:val="single" w:color="D26F2A" w:sz="10" w:space="3"/>
        </w:pBdr>
        <w:spacing w:after="120" w:before="340"/>
      </w:pPr>
      <w:r>
        <w:rPr>
          <w:rFonts w:ascii="Arial" w:cs="Arial" w:eastAsia="Arial" w:hAnsi="Arial"/>
          <w:b/>
          <w:bCs/>
          <w:color w:val="D26F2A"/>
          <w:sz w:val="26"/>
          <w:szCs w:val="26"/>
        </w:rPr>
        <w:t xml:space="preserve">7  </w:t>
      </w:r>
      <w:r>
        <w:rPr>
          <w:rFonts w:ascii="Arial" w:cs="Arial" w:eastAsia="Arial" w:hAnsi="Arial"/>
          <w:b/>
          <w:bCs/>
          <w:color w:val="2F2F2F"/>
          <w:sz w:val="26"/>
          <w:szCs w:val="26"/>
        </w:rPr>
        <w:t xml:space="preserve">Reporting &amp; Month-End / Quarter-End Close</w:t>
      </w:r>
    </w:p>
    <w:p>
      <w:pPr>
        <w:spacing w:after="70" w:before="200"/>
      </w:pPr>
      <w:r>
        <w:rPr>
          <w:rFonts w:ascii="Arial" w:cs="Arial" w:eastAsia="Arial" w:hAnsi="Arial"/>
          <w:b/>
          <w:bCs/>
          <w:color w:val="D26F2A"/>
          <w:sz w:val="21"/>
          <w:szCs w:val="21"/>
        </w:rPr>
        <w:t xml:space="preserve">7.1  </w:t>
      </w:r>
      <w:r>
        <w:rPr>
          <w:rFonts w:ascii="Arial" w:cs="Arial" w:eastAsia="Arial" w:hAnsi="Arial"/>
          <w:b/>
          <w:bCs/>
          <w:color w:val="2F2F2F"/>
          <w:sz w:val="21"/>
          <w:szCs w:val="21"/>
        </w:rPr>
        <w:t xml:space="preserve">Which reports do you run the business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Daily / weekly: cash position, AR aging, open work orders and WO margin, sales pipeline (QRM), floor-plan exposure by lender, inventory, plus the daily QEP dashboard.</w:t>
            </w:r>
          </w:p>
          <w:p>
            <w:pPr>
              <w:spacing w:after="50"/>
            </w:pPr>
            <w:r>
              <w:rPr>
                <w:rFonts w:ascii="Arial" w:cs="Arial" w:eastAsia="Arial" w:hAnsi="Arial"/>
                <w:color w:val="2F2F2F"/>
                <w:sz w:val="21"/>
                <w:szCs w:val="21"/>
              </w:rPr>
              <w:t xml:space="preserve">Monthly: P&amp;L shown as branch-standalone (each a profit center) plus a consolidated corporate view with allocations; balance sheet; AR/AP aging; inventory value; margin by department and segment; floor-plan interest and exposure; cash flow statement; and inventory turnover report.</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Confirm inventory turnover on units vs. dollars, and whether it flags aged inventory past a day threshold.</w:t>
            </w:r>
          </w:p>
        </w:tc>
      </w:tr>
    </w:tbl>
    <w:p>
      <w:pPr>
        <w:spacing w:after="70" w:before="200"/>
      </w:pPr>
      <w:r>
        <w:rPr>
          <w:rFonts w:ascii="Arial" w:cs="Arial" w:eastAsia="Arial" w:hAnsi="Arial"/>
          <w:b/>
          <w:bCs/>
          <w:color w:val="D26F2A"/>
          <w:sz w:val="21"/>
          <w:szCs w:val="21"/>
        </w:rPr>
        <w:t xml:space="preserve">7.2  </w:t>
      </w:r>
      <w:r>
        <w:rPr>
          <w:rFonts w:ascii="Arial" w:cs="Arial" w:eastAsia="Arial" w:hAnsi="Arial"/>
          <w:b/>
          <w:bCs/>
          <w:color w:val="2F2F2F"/>
          <w:sz w:val="21"/>
          <w:szCs w:val="21"/>
        </w:rPr>
        <w:t xml:space="preserve">Walk through your month-end process and what has to tie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Monthly, Tina balances the books — reconciling bank/cash accounts, floor-plan statements (all six lenders), inventory to GL, AR and AP subledgers, and credit-card/clearing accounts. This is a balance, not a hard close. Sign-off chain: Tina prepares → Ryan signs off → CPA.</w:t>
            </w:r>
          </w:p>
          <w:p>
            <w:pPr>
              <w:spacing w:after="40" w:before="40"/>
            </w:pPr>
            <w:r>
              <w:rPr>
                <w:rFonts w:ascii="Arial" w:cs="Arial" w:eastAsia="Arial" w:hAnsi="Arial"/>
                <w:b/>
                <w:bCs/>
                <w:color w:val="D26F2A"/>
                <w:sz w:val="18"/>
                <w:szCs w:val="18"/>
              </w:rPr>
              <w:t xml:space="preserve">Still to confirm:  </w:t>
            </w:r>
            <w:r>
              <w:rPr>
                <w:rFonts w:ascii="Arial" w:cs="Arial" w:eastAsia="Arial" w:hAnsi="Arial"/>
                <w:color w:val="2F2F2F"/>
                <w:sz w:val="18"/>
                <w:szCs w:val="18"/>
              </w:rPr>
              <w:t xml:space="preserve">Whether the deposit / rental-security-deposit liability accounts are also reconciled at the monthly balance.</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During the parallel run, the inventory-to-GL and AR/AP reconciliations must tie QEP OS → QuickBooks each period.</w:t>
            </w:r>
          </w:p>
        </w:tc>
      </w:tr>
    </w:tbl>
    <w:p>
      <w:pPr>
        <w:spacing w:after="70" w:before="200"/>
      </w:pPr>
      <w:r>
        <w:rPr>
          <w:rFonts w:ascii="Arial" w:cs="Arial" w:eastAsia="Arial" w:hAnsi="Arial"/>
          <w:b/>
          <w:bCs/>
          <w:color w:val="D26F2A"/>
          <w:sz w:val="21"/>
          <w:szCs w:val="21"/>
        </w:rPr>
        <w:t xml:space="preserve">7.3  </w:t>
      </w:r>
      <w:r>
        <w:rPr>
          <w:rFonts w:ascii="Arial" w:cs="Arial" w:eastAsia="Arial" w:hAnsi="Arial"/>
          <w:b/>
          <w:bCs/>
          <w:color w:val="2F2F2F"/>
          <w:sz w:val="21"/>
          <w:szCs w:val="21"/>
        </w:rPr>
        <w:t xml:space="preserve">What does the CPA need, in what format,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The books are balanced monthly but formally closed quarterly. Financials go to the CPA only at quarter-end. The CPA reviews the quarter, returns adjusting entries, Tina posts them in the system, and the quarter is closed.</w:t>
            </w:r>
          </w:p>
          <w:p>
            <w:pPr>
              <w:spacing w:after="50"/>
            </w:pPr>
            <w:r>
              <w:rPr>
                <w:rFonts w:ascii="Arial" w:cs="Arial" w:eastAsia="Arial" w:hAnsi="Arial"/>
                <w:color w:val="2F2F2F"/>
                <w:sz w:val="21"/>
                <w:szCs w:val="21"/>
              </w:rPr>
              <w:t xml:space="preserve">At quarter-end the CPA receives: financial statements (P&amp;L, balance sheet), bank/floor-plan reconciliations, inventory detail, and rental buydown amounts for depreciation. Format: PDF.</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CPA adjusting entries must post back into QEP OS (system of record) and flow to QuickBooks; a closed quarter should lock against back-dated edits. The rental-buydown total is a QEP-specific quarterly report the CPA needs for depreciation.</w:t>
            </w:r>
          </w:p>
        </w:tc>
      </w:tr>
    </w:tbl>
    <w:p>
      <w:pPr>
        <w:pBdr>
          <w:bottom w:val="single" w:color="D26F2A" w:sz="10" w:space="3"/>
        </w:pBdr>
        <w:spacing w:after="120" w:before="340"/>
      </w:pPr>
      <w:r>
        <w:rPr>
          <w:rFonts w:ascii="Arial" w:cs="Arial" w:eastAsia="Arial" w:hAnsi="Arial"/>
          <w:b/>
          <w:bCs/>
          <w:color w:val="D26F2A"/>
          <w:sz w:val="26"/>
          <w:szCs w:val="26"/>
        </w:rPr>
        <w:t xml:space="preserve">8  </w:t>
      </w:r>
      <w:r>
        <w:rPr>
          <w:rFonts w:ascii="Arial" w:cs="Arial" w:eastAsia="Arial" w:hAnsi="Arial"/>
          <w:b/>
          <w:bCs/>
          <w:color w:val="2F2F2F"/>
          <w:sz w:val="26"/>
          <w:szCs w:val="26"/>
        </w:rPr>
        <w:t xml:space="preserve">Tax &amp; Compliance</w:t>
      </w:r>
    </w:p>
    <w:p>
      <w:pPr>
        <w:spacing w:after="70" w:before="200"/>
      </w:pPr>
      <w:r>
        <w:rPr>
          <w:rFonts w:ascii="Arial" w:cs="Arial" w:eastAsia="Arial" w:hAnsi="Arial"/>
          <w:b/>
          <w:bCs/>
          <w:color w:val="D26F2A"/>
          <w:sz w:val="21"/>
          <w:szCs w:val="21"/>
        </w:rPr>
        <w:t xml:space="preserve">8.1  </w:t>
      </w:r>
      <w:r>
        <w:rPr>
          <w:rFonts w:ascii="Arial" w:cs="Arial" w:eastAsia="Arial" w:hAnsi="Arial"/>
          <w:b/>
          <w:bCs/>
          <w:color w:val="2F2F2F"/>
          <w:sz w:val="21"/>
          <w:szCs w:val="21"/>
        </w:rPr>
        <w:t xml:space="preserve">Florida DR-15 cadence, surtax counties, and exemptions?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DR-15 filed monthly. Home counties: Columbia (01) and Marion (02), with destination-based surtax on deliveries into any Florida county. Exemptions are stored on the customer profile and auto-flag invoices as exempt.</w:t>
            </w:r>
          </w:p>
          <w:p>
            <w:pPr>
              <w:spacing w:after="40" w:before="40"/>
            </w:pPr>
            <w:r>
              <w:rPr>
                <w:rFonts w:ascii="Arial" w:cs="Arial" w:eastAsia="Arial" w:hAnsi="Arial"/>
                <w:b/>
                <w:bCs/>
                <w:color w:val="D26F2A"/>
                <w:sz w:val="18"/>
                <w:szCs w:val="18"/>
              </w:rPr>
              <w:t xml:space="preserve">Still to confirm:  </w:t>
            </w:r>
            <w:r>
              <w:rPr>
                <w:rFonts w:ascii="Arial" w:cs="Arial" w:eastAsia="Arial" w:hAnsi="Arial"/>
                <w:color w:val="2F2F2F"/>
                <w:sz w:val="18"/>
                <w:szCs w:val="18"/>
              </w:rPr>
              <w:t xml:space="preserve">Whether QEP takes the Florida collection allowance (2.5% of the first $1,200 of tax, capped at $30/month, for on-time electronic filing).</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Monthly DR-15 plus destination sourcing means QEP OS should produce a monthly sales-tax liability report broken out by county.</w:t>
            </w:r>
          </w:p>
        </w:tc>
      </w:tr>
    </w:tbl>
    <w:p>
      <w:pPr>
        <w:spacing w:after="70" w:before="200"/>
      </w:pPr>
      <w:r>
        <w:rPr>
          <w:rFonts w:ascii="Arial" w:cs="Arial" w:eastAsia="Arial" w:hAnsi="Arial"/>
          <w:b/>
          <w:bCs/>
          <w:color w:val="D26F2A"/>
          <w:sz w:val="21"/>
          <w:szCs w:val="21"/>
        </w:rPr>
        <w:t xml:space="preserve">8.2  </w:t>
      </w:r>
      <w:r>
        <w:rPr>
          <w:rFonts w:ascii="Arial" w:cs="Arial" w:eastAsia="Arial" w:hAnsi="Arial"/>
          <w:b/>
          <w:bCs/>
          <w:color w:val="2F2F2F"/>
          <w:sz w:val="21"/>
          <w:szCs w:val="21"/>
        </w:rPr>
        <w:t xml:space="preserve">1099 vendors and other compliance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The CPA handles 1099 tracking and issuance; QEP OS supplies clean vendor payment data. Additional compliance items QEP OS should account for:</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Form 8300 — cash sales over $10,000 reported to the IRS.</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Out-of-state / interstate sales tax on deliveries outside Florida (nexus / exemption handling).</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Dealer / DOT licensing renewals.</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FET (Federal Excise Tax) — 12% on applicable items such as grapple trucks and truck bodies.</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FET is a distinct federal tax (Form 720), not sales tax. QEP OS must flag FET-applicable line items (grapple trucks, bodies, qualifying chassis), calculate the 12% separately, track it as its own liability, and handle FET exemption certificates. Non-Florida deliveries need destination-state handling.</w:t>
            </w:r>
          </w:p>
        </w:tc>
      </w:tr>
    </w:tbl>
    <w:p>
      <w:pPr>
        <w:pBdr>
          <w:bottom w:val="single" w:color="D26F2A" w:sz="10" w:space="3"/>
        </w:pBdr>
        <w:spacing w:after="120" w:before="340"/>
      </w:pPr>
      <w:r>
        <w:rPr>
          <w:rFonts w:ascii="Arial" w:cs="Arial" w:eastAsia="Arial" w:hAnsi="Arial"/>
          <w:b/>
          <w:bCs/>
          <w:color w:val="D26F2A"/>
          <w:sz w:val="26"/>
          <w:szCs w:val="26"/>
        </w:rPr>
        <w:t xml:space="preserve">9  </w:t>
      </w:r>
      <w:r>
        <w:rPr>
          <w:rFonts w:ascii="Arial" w:cs="Arial" w:eastAsia="Arial" w:hAnsi="Arial"/>
          <w:b/>
          <w:bCs/>
          <w:color w:val="2F2F2F"/>
          <w:sz w:val="26"/>
          <w:szCs w:val="26"/>
        </w:rPr>
        <w:t xml:space="preserve">Banking, Cash &amp; Who Can Approve What</w:t>
      </w:r>
    </w:p>
    <w:p>
      <w:pPr>
        <w:spacing w:after="70" w:before="200"/>
      </w:pPr>
      <w:r>
        <w:rPr>
          <w:rFonts w:ascii="Arial" w:cs="Arial" w:eastAsia="Arial" w:hAnsi="Arial"/>
          <w:b/>
          <w:bCs/>
          <w:color w:val="D26F2A"/>
          <w:sz w:val="21"/>
          <w:szCs w:val="21"/>
        </w:rPr>
        <w:t xml:space="preserve">9.1  </w:t>
      </w:r>
      <w:r>
        <w:rPr>
          <w:rFonts w:ascii="Arial" w:cs="Arial" w:eastAsia="Arial" w:hAnsi="Arial"/>
          <w:b/>
          <w:bCs/>
          <w:color w:val="2F2F2F"/>
          <w:sz w:val="21"/>
          <w:szCs w:val="21"/>
        </w:rPr>
        <w:t xml:space="preserve">How many accounts, and who reconciles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2–3 bank accounts (operating, payroll, and/or tax/deposits). Tina and the AR/AP clerk split the reconciliation, monthly.</w:t>
            </w:r>
          </w:p>
          <w:p>
            <w:pPr>
              <w:spacing w:after="40" w:before="40"/>
            </w:pPr>
            <w:r>
              <w:rPr>
                <w:rFonts w:ascii="Arial" w:cs="Arial" w:eastAsia="Arial" w:hAnsi="Arial"/>
                <w:b/>
                <w:bCs/>
                <w:color w:val="D26F2A"/>
                <w:sz w:val="18"/>
                <w:szCs w:val="18"/>
              </w:rPr>
              <w:t xml:space="preserve">Still to confirm:  </w:t>
            </w:r>
            <w:r>
              <w:rPr>
                <w:rFonts w:ascii="Arial" w:cs="Arial" w:eastAsia="Arial" w:hAnsi="Arial"/>
                <w:color w:val="2F2F2F"/>
                <w:sz w:val="18"/>
                <w:szCs w:val="18"/>
              </w:rPr>
              <w:t xml:space="preserve">Exact account list, and whether cash is tracked separately by branch.</w:t>
            </w:r>
          </w:p>
        </w:tc>
      </w:tr>
    </w:tbl>
    <w:p>
      <w:pPr>
        <w:spacing w:after="70" w:before="200"/>
      </w:pPr>
      <w:r>
        <w:rPr>
          <w:rFonts w:ascii="Arial" w:cs="Arial" w:eastAsia="Arial" w:hAnsi="Arial"/>
          <w:b/>
          <w:bCs/>
          <w:color w:val="D26F2A"/>
          <w:sz w:val="21"/>
          <w:szCs w:val="21"/>
        </w:rPr>
        <w:t xml:space="preserve">9.2  </w:t>
      </w:r>
      <w:r>
        <w:rPr>
          <w:rFonts w:ascii="Arial" w:cs="Arial" w:eastAsia="Arial" w:hAnsi="Arial"/>
          <w:b/>
          <w:bCs/>
          <w:color w:val="2F2F2F"/>
          <w:sz w:val="21"/>
          <w:szCs w:val="21"/>
        </w:rPr>
        <w:t xml:space="preserve">Card / ACH processor, and how fees are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Processor: Worldpay (card and ACH). Fees today are booked to a single credit-card fee account.</w:t>
            </w:r>
          </w:p>
          <w:p>
            <w:pPr>
              <w:spacing w:after="50"/>
            </w:pPr>
            <w:r>
              <w:rPr>
                <w:rFonts w:ascii="Arial" w:cs="Arial" w:eastAsia="Arial" w:hAnsi="Arial"/>
                <w:color w:val="2F2F2F"/>
                <w:sz w:val="21"/>
                <w:szCs w:val="21"/>
              </w:rPr>
              <w:t xml:space="preserve">Going forward (change): allocate processing fees to the department/branch that took the payment — QEP OS should tag each Worldpay transaction to its originating department and post the fee there, so each department's P&amp;L carries its own card-fee cost.</w:t>
            </w:r>
          </w:p>
        </w:tc>
      </w:tr>
    </w:tbl>
    <w:p>
      <w:pPr>
        <w:spacing w:after="70" w:before="200"/>
      </w:pPr>
      <w:r>
        <w:rPr>
          <w:rFonts w:ascii="Arial" w:cs="Arial" w:eastAsia="Arial" w:hAnsi="Arial"/>
          <w:b/>
          <w:bCs/>
          <w:color w:val="D26F2A"/>
          <w:sz w:val="21"/>
          <w:szCs w:val="21"/>
        </w:rPr>
        <w:t xml:space="preserve">9.3  </w:t>
      </w:r>
      <w:r>
        <w:rPr>
          <w:rFonts w:ascii="Arial" w:cs="Arial" w:eastAsia="Arial" w:hAnsi="Arial"/>
          <w:b/>
          <w:bCs/>
          <w:color w:val="2F2F2F"/>
          <w:sz w:val="21"/>
          <w:szCs w:val="21"/>
        </w:rPr>
        <w:t xml:space="preserve">The approval list — who can approve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Confirmed approval matrix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DDDDDD" w:sz="4"/>
              <w:left w:val="single" w:color="DDDDDD" w:sz="4"/>
              <w:bottom w:val="single" w:color="DDDDDD" w:sz="4"/>
              <w:right w:val="single" w:color="DDDDDD" w:sz="4"/>
            </w:tcBorders>
            <w:shd w:fill="D26F2A" w:val="clear"/>
            <w:tcMar>
              <w:top w:type="dxa" w:w="60"/>
              <w:left w:type="dxa" w:w="120"/>
              <w:bottom w:type="dxa" w:w="60"/>
              <w:right w:type="dxa" w:w="120"/>
            </w:tcMar>
            <w:vAlign w:val="center"/>
          </w:tcPr>
          <w:p>
            <w:r>
              <w:rPr>
                <w:rFonts w:ascii="Arial" w:cs="Arial" w:eastAsia="Arial" w:hAnsi="Arial"/>
                <w:b/>
                <w:bCs/>
                <w:color w:val="FFFFFF"/>
                <w:sz w:val="19"/>
                <w:szCs w:val="19"/>
              </w:rPr>
              <w:t xml:space="preserve">Action</w:t>
            </w:r>
          </w:p>
        </w:tc>
        <w:tc>
          <w:tcPr>
            <w:tcW w:type="dxa" w:w="5460"/>
            <w:tcBorders>
              <w:top w:val="single" w:color="DDDDDD" w:sz="4"/>
              <w:left w:val="single" w:color="DDDDDD" w:sz="4"/>
              <w:bottom w:val="single" w:color="DDDDDD" w:sz="4"/>
              <w:right w:val="single" w:color="DDDDDD" w:sz="4"/>
            </w:tcBorders>
            <w:shd w:fill="D26F2A" w:val="clear"/>
            <w:tcMar>
              <w:top w:type="dxa" w:w="60"/>
              <w:left w:type="dxa" w:w="120"/>
              <w:bottom w:type="dxa" w:w="60"/>
              <w:right w:type="dxa" w:w="120"/>
            </w:tcMar>
            <w:vAlign w:val="center"/>
          </w:tcPr>
          <w:p>
            <w:r>
              <w:rPr>
                <w:rFonts w:ascii="Arial" w:cs="Arial" w:eastAsia="Arial" w:hAnsi="Arial"/>
                <w:b/>
                <w:bCs/>
                <w:color w:val="FFFFFF"/>
                <w:sz w:val="19"/>
                <w:szCs w:val="19"/>
              </w:rPr>
              <w:t xml:space="preserve">Approver(s)</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Extend credit / new in-house account</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Tina or Ryan</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Release a credit hold</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Tina or AR clerk (customer in good standing)</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Credit hold placement</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Automatic at 60 days past due</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Write off bad debt</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Ryan only</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Refunds</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Rep within policy; manager above</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Credit memo — within return policy</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Counter parts rep</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Credit memo — outside policy</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Department manager</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Credit memo — goodwill</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GM or higher</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Discount below the margin floor</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Department manager (owns their margin)</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Pay vendor bills (AP)</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Tina approves all AP</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Post journal entries</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Tina prepares, Ryan signs off</w:t>
            </w:r>
          </w:p>
        </w:tc>
      </w:tr>
      <w:tr>
        <w:tc>
          <w:tcPr>
            <w:tcW w:type="dxa" w:w="3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Invoice correction / reopen</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r>
              <w:rPr>
                <w:rFonts w:ascii="Arial" w:cs="Arial" w:eastAsia="Arial" w:hAnsi="Arial"/>
                <w:color w:val="2F2F2F"/>
                <w:sz w:val="19"/>
                <w:szCs w:val="19"/>
              </w:rPr>
              <w:t xml:space="preserve">Sales Manager or Iron Manager</w:t>
            </w:r>
          </w:p>
        </w:tc>
      </w:tr>
    </w:tbl>
    <w:p>
      <w:pPr>
        <w:spacing w:after="60"/>
      </w:pPr>
    </w:p>
    <w:p>
      <w:pPr>
        <w:pBdr>
          <w:bottom w:val="single" w:color="D26F2A" w:sz="10" w:space="3"/>
        </w:pBdr>
        <w:spacing w:after="120" w:before="340"/>
      </w:pPr>
      <w:r>
        <w:rPr>
          <w:rFonts w:ascii="Arial" w:cs="Arial" w:eastAsia="Arial" w:hAnsi="Arial"/>
          <w:b/>
          <w:bCs/>
          <w:color w:val="D26F2A"/>
          <w:sz w:val="26"/>
          <w:szCs w:val="26"/>
        </w:rPr>
        <w:t xml:space="preserve">10  </w:t>
      </w:r>
      <w:r>
        <w:rPr>
          <w:rFonts w:ascii="Arial" w:cs="Arial" w:eastAsia="Arial" w:hAnsi="Arial"/>
          <w:b/>
          <w:bCs/>
          <w:color w:val="2F2F2F"/>
          <w:sz w:val="26"/>
          <w:szCs w:val="26"/>
        </w:rPr>
        <w:t xml:space="preserve">Payroll Boundary (ADP) &amp; Migration</w:t>
      </w:r>
    </w:p>
    <w:p>
      <w:pPr>
        <w:spacing w:after="70" w:before="200"/>
      </w:pPr>
      <w:r>
        <w:rPr>
          <w:rFonts w:ascii="Arial" w:cs="Arial" w:eastAsia="Arial" w:hAnsi="Arial"/>
          <w:b/>
          <w:bCs/>
          <w:color w:val="D26F2A"/>
          <w:sz w:val="21"/>
          <w:szCs w:val="21"/>
        </w:rPr>
        <w:t xml:space="preserve">10.1  </w:t>
      </w:r>
      <w:r>
        <w:rPr>
          <w:rFonts w:ascii="Arial" w:cs="Arial" w:eastAsia="Arial" w:hAnsi="Arial"/>
          <w:b/>
          <w:bCs/>
          <w:color w:val="2F2F2F"/>
          <w:sz w:val="21"/>
          <w:szCs w:val="21"/>
        </w:rPr>
        <w:t xml:space="preserve">ADP stays for payroll — what does QEP OS need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QEP OS needs from payroll: the technician pay-ladder (rates by tech), tech efficiency/productivity numbers, hours by work order and department, the labor-cost feed for job costing, and the department each person's payroll is charged to.</w:t>
            </w:r>
          </w:p>
          <w:p>
            <w:pPr>
              <w:spacing w:after="50"/>
            </w:pPr>
            <w:r>
              <w:rPr>
                <w:rFonts w:ascii="Arial" w:cs="Arial" w:eastAsia="Arial" w:hAnsi="Arial"/>
                <w:color w:val="2F2F2F"/>
                <w:sz w:val="21"/>
                <w:szCs w:val="21"/>
              </w:rPr>
              <w:t xml:space="preserve">ADP stays for now, but the integration should be built payroll-agnostic (swappable) so a future move to QuickBooks Payroll is a connector change, not a rebuild.</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The feed must carry department/branch tagging per employee — it's the backbone of job costing, Service margin, and branch-standalone P&amp;Ls, not just gross labor dollars.</w:t>
            </w:r>
          </w:p>
        </w:tc>
      </w:tr>
    </w:tbl>
    <w:p>
      <w:pPr>
        <w:spacing w:after="70" w:before="200"/>
      </w:pPr>
      <w:r>
        <w:rPr>
          <w:rFonts w:ascii="Arial" w:cs="Arial" w:eastAsia="Arial" w:hAnsi="Arial"/>
          <w:b/>
          <w:bCs/>
          <w:color w:val="D26F2A"/>
          <w:sz w:val="21"/>
          <w:szCs w:val="21"/>
        </w:rPr>
        <w:t xml:space="preserve">10.2  </w:t>
      </w:r>
      <w:r>
        <w:rPr>
          <w:rFonts w:ascii="Arial" w:cs="Arial" w:eastAsia="Arial" w:hAnsi="Arial"/>
          <w:b/>
          <w:bCs/>
          <w:color w:val="2F2F2F"/>
          <w:sz w:val="21"/>
          <w:szCs w:val="21"/>
        </w:rPr>
        <w:t xml:space="preserve">How does payroll post to the GL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Payroll posts as a summary journal entry, broken out by department and branch. Tina posts it manually from ADP each pay run.</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Since QEP OS already needs the department/branch labor feed, it can auto-generate that summary JE and eliminate the manual keying (carrying over if payroll moves to QuickBooks Payroll).</w:t>
            </w:r>
          </w:p>
        </w:tc>
      </w:tr>
    </w:tbl>
    <w:p>
      <w:pPr>
        <w:spacing w:after="70" w:before="200"/>
      </w:pPr>
      <w:r>
        <w:rPr>
          <w:rFonts w:ascii="Arial" w:cs="Arial" w:eastAsia="Arial" w:hAnsi="Arial"/>
          <w:b/>
          <w:bCs/>
          <w:color w:val="D26F2A"/>
          <w:sz w:val="21"/>
          <w:szCs w:val="21"/>
        </w:rPr>
        <w:t xml:space="preserve">10.3  </w:t>
      </w:r>
      <w:r>
        <w:rPr>
          <w:rFonts w:ascii="Arial" w:cs="Arial" w:eastAsia="Arial" w:hAnsi="Arial"/>
          <w:b/>
          <w:bCs/>
          <w:color w:val="2F2F2F"/>
          <w:sz w:val="21"/>
          <w:szCs w:val="21"/>
        </w:rPr>
        <w:t xml:space="preserve">Cutover point for opening balances, and history carried?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Cutover: January 1, 2027 — a fresh fiscal year, giving the cleanest possible opening balances (prior year fully CPA-closed, no mid-year stub). History: multiple years carried for trending.</w:t>
            </w:r>
          </w:p>
          <w:p>
            <w:pPr>
              <w:spacing w:after="40" w:before="40"/>
            </w:pPr>
            <w:r>
              <w:rPr>
                <w:rFonts w:ascii="Arial" w:cs="Arial" w:eastAsia="Arial" w:hAnsi="Arial"/>
                <w:b/>
                <w:bCs/>
                <w:i/>
                <w:iCs/>
                <w:color w:val="6B6B6B"/>
                <w:sz w:val="18"/>
                <w:szCs w:val="18"/>
              </w:rPr>
              <w:t xml:space="preserve">For the working session:  </w:t>
            </w:r>
            <w:r>
              <w:rPr>
                <w:rFonts w:ascii="Arial" w:cs="Arial" w:eastAsia="Arial" w:hAnsi="Arial"/>
                <w:i/>
                <w:iCs/>
                <w:color w:val="6B6B6B"/>
                <w:sz w:val="18"/>
                <w:szCs w:val="18"/>
              </w:rPr>
              <w:t xml:space="preserve">Distinguish transactional migration (open balances — AR/AP/inventory/floor-plan detail at cutover) from summary/trending history (prior-year monthly figures by department/branch) — this materially affects migration scope and cost.</w:t>
            </w:r>
          </w:p>
        </w:tc>
      </w:tr>
    </w:tbl>
    <w:p>
      <w:pPr>
        <w:spacing w:after="70" w:before="200"/>
      </w:pPr>
      <w:r>
        <w:rPr>
          <w:rFonts w:ascii="Arial" w:cs="Arial" w:eastAsia="Arial" w:hAnsi="Arial"/>
          <w:b/>
          <w:bCs/>
          <w:color w:val="D26F2A"/>
          <w:sz w:val="21"/>
          <w:szCs w:val="21"/>
        </w:rPr>
        <w:t xml:space="preserve">10.4  </w:t>
      </w:r>
      <w:r>
        <w:rPr>
          <w:rFonts w:ascii="Arial" w:cs="Arial" w:eastAsia="Arial" w:hAnsi="Arial"/>
          <w:b/>
          <w:bCs/>
          <w:color w:val="2F2F2F"/>
          <w:sz w:val="21"/>
          <w:szCs w:val="21"/>
        </w:rPr>
        <w:t xml:space="preserve">Who owns the customer and vendor master lists, and can we get clean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E7D32" w:sz="18"/>
              <w:bottom w:val="single" w:color="DDDDDD" w:sz="4"/>
              <w:right w:val="single" w:color="DDDDDD" w:sz="4"/>
            </w:tcBorders>
            <w:shd w:fill="F4F8F4" w:val="clear"/>
            <w:tcMar>
              <w:top w:type="dxa" w:w="90"/>
              <w:left w:type="dxa" w:w="160"/>
              <w:bottom w:type="dxa" w:w="90"/>
              <w:right w:type="dxa" w:w="140"/>
            </w:tcMar>
          </w:tcPr>
          <w:p>
            <w:pPr>
              <w:spacing w:after="60"/>
            </w:pPr>
            <w:r>
              <w:rPr>
                <w:rFonts w:ascii="Arial" w:cs="Arial" w:eastAsia="Arial" w:hAnsi="Arial"/>
                <w:b/>
                <w:bCs/>
                <w:color w:val="2E7D32"/>
                <w:sz w:val="16"/>
                <w:szCs w:val="16"/>
              </w:rPr>
              <w:t xml:space="preserve">QEP RESPONSE</w:t>
            </w:r>
          </w:p>
          <w:p>
            <w:pPr>
              <w:spacing w:after="50"/>
            </w:pPr>
            <w:r>
              <w:rPr>
                <w:rFonts w:ascii="Arial" w:cs="Arial" w:eastAsia="Arial" w:hAnsi="Arial"/>
                <w:color w:val="2F2F2F"/>
                <w:sz w:val="21"/>
                <w:szCs w:val="21"/>
              </w:rPr>
              <w:t xml:space="preserve">Both the customer and vendor master lists live in Intellidealer, and both can be exported cleanly — no major dedup/cleanup blocker. The masters port over first at cutover, then open balances attach to them.</w:t>
            </w:r>
          </w:p>
        </w:tc>
      </w:tr>
    </w:tbl>
    <w:p>
      <w:pPr>
        <w:pBdr>
          <w:bottom w:val="single" w:color="D26F2A" w:sz="10" w:space="3"/>
        </w:pBdr>
        <w:spacing w:after="120" w:before="340"/>
      </w:pPr>
      <w:r>
        <w:rPr>
          <w:rFonts w:ascii="Arial" w:cs="Arial" w:eastAsia="Arial" w:hAnsi="Arial"/>
          <w:b/>
          <w:bCs/>
          <w:color w:val="D26F2A"/>
          <w:sz w:val="26"/>
          <w:szCs w:val="26"/>
        </w:rPr>
        <w:t xml:space="preserve">✓  </w:t>
      </w:r>
      <w:r>
        <w:rPr>
          <w:rFonts w:ascii="Arial" w:cs="Arial" w:eastAsia="Arial" w:hAnsi="Arial"/>
          <w:b/>
          <w:bCs/>
          <w:color w:val="2F2F2F"/>
          <w:sz w:val="26"/>
          <w:szCs w:val="26"/>
        </w:rPr>
        <w:t xml:space="preserve">Attachment Checklist</w:t>
      </w:r>
    </w:p>
    <w:p>
      <w:pPr>
        <w:spacing w:after="80"/>
      </w:pPr>
      <w:r>
        <w:rPr>
          <w:rFonts w:ascii="Arial" w:cs="Arial" w:eastAsia="Arial" w:hAnsi="Arial"/>
          <w:color w:val="2F2F2F"/>
          <w:sz w:val="21"/>
          <w:szCs w:val="21"/>
        </w:rPr>
        <w:t xml:space="preserve">Exports for Tina to pull from Intellidealer, plus the sample invoices needed to capture the remaining disclosures:</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Chart of accounts export (Intellidealer)</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Most recent P&amp;L and balance sheet (sample period)</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One sample invoice from each department: Equipment, Rental, Parts, Service (captures Equipment/Rental/Service disclosures)</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Current AR aging</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A sample quarter-end reporting package (financials, reconciliations, inventory detail, rental buydown amounts)</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Customer and vendor master list exports (Intellidealer)</w:t>
      </w:r>
    </w:p>
    <w:p>
      <w:pPr>
        <w:spacing w:after="50"/>
        <w:ind w:left="360" w:hanging="240"/>
      </w:pPr>
      <w:r>
        <w:rPr>
          <w:rFonts w:ascii="Arial" w:cs="Arial" w:eastAsia="Arial" w:hAnsi="Arial"/>
          <w:color w:val="D26F2A"/>
          <w:sz w:val="22"/>
          <w:szCs w:val="22"/>
        </w:rPr>
        <w:t xml:space="preserve">☐  </w:t>
      </w:r>
      <w:r>
        <w:rPr>
          <w:rFonts w:ascii="Arial" w:cs="Arial" w:eastAsia="Arial" w:hAnsi="Arial"/>
          <w:color w:val="2F2F2F"/>
          <w:sz w:val="21"/>
          <w:szCs w:val="21"/>
        </w:rPr>
        <w:t xml:space="preserve">Floor-plan curtailment schedules / terms for each of the six lenders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6F2A" w:sz="6"/>
              <w:left w:val="single" w:color="D26F2A" w:sz="6"/>
              <w:bottom w:val="single" w:color="D26F2A" w:sz="6"/>
              <w:right w:val="single" w:color="D26F2A" w:sz="6"/>
            </w:tcBorders>
            <w:shd w:fill="FBF3EC" w:val="clear"/>
            <w:tcMar>
              <w:top w:type="dxa" w:w="120"/>
              <w:left w:type="dxa" w:w="160"/>
              <w:bottom w:type="dxa" w:w="120"/>
              <w:right w:type="dxa" w:w="160"/>
            </w:tcMar>
          </w:tcPr>
          <w:p>
            <w:pPr>
              <w:spacing w:after="70"/>
            </w:pPr>
            <w:r>
              <w:rPr>
                <w:rFonts w:ascii="Arial" w:cs="Arial" w:eastAsia="Arial" w:hAnsi="Arial"/>
                <w:b/>
                <w:bCs/>
                <w:color w:val="D26F2A"/>
                <w:sz w:val="22"/>
                <w:szCs w:val="22"/>
              </w:rPr>
              <w:t xml:space="preserve">Open items to confirm before sending</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QuickBooks Desktop version (believed Pro).</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Whether QEP takes the Florida DR-15 collection allowance.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Whether deposit / security-deposit liability accounts are reconciled at the monthly balance.</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Exact bank account list and whether cash is tracked separately by branch.</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Internal WO door rate ($) and internal parts markup (%).</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Which large accounts get Net 45 (assign during setup).</w:t>
            </w:r>
          </w:p>
          <w:p>
            <w:pPr>
              <w:spacing w:after="40"/>
              <w:ind w:left="360" w:hanging="200"/>
            </w:pPr>
            <w:r>
              <w:rPr>
                <w:rFonts w:ascii="Arial" w:cs="Arial" w:eastAsia="Arial" w:hAnsi="Arial"/>
                <w:color w:val="D26F2A"/>
                <w:sz w:val="21"/>
                <w:szCs w:val="21"/>
              </w:rPr>
              <w:t xml:space="preserve">•  </w:t>
            </w:r>
            <w:r>
              <w:rPr>
                <w:rFonts w:ascii="Arial" w:cs="Arial" w:eastAsia="Arial" w:hAnsi="Arial"/>
                <w:color w:val="2F2F2F"/>
                <w:sz w:val="21"/>
                <w:szCs w:val="21"/>
              </w:rPr>
              <w:t xml:space="preserve">Inventory turnover basis (units vs. dollars) and aged-inventory threshold.</w:t>
            </w:r>
          </w:p>
        </w:tc>
      </w:tr>
    </w:tbl>
    <w:p>
      <w:pPr>
        <w:spacing w:before="160"/>
      </w:pPr>
      <w:r>
        <w:rPr>
          <w:rFonts w:ascii="Arial" w:cs="Arial" w:eastAsia="Arial" w:hAnsi="Arial"/>
          <w:i/>
          <w:iCs/>
          <w:color w:val="6B6B6B"/>
          <w:sz w:val="19"/>
          <w:szCs w:val="19"/>
        </w:rPr>
        <w:t xml:space="preserve">Prepared from Ryan &amp; Tina's working answers — ready for the BlackRock AI finance session.</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6B6B6B"/>
        <w:sz w:val="16"/>
        <w:szCs w:val="16"/>
      </w:rPr>
      <w:t xml:space="preserve">Quality Equipment &amp; Parts  ·  Finance &amp; Accounting Questionnaire Responses</w:t>
    </w:r>
    <w:r>
      <w:rPr>
        <w:rFonts w:ascii="Arial" w:cs="Arial" w:eastAsia="Arial" w:hAnsi="Arial"/>
      </w:rPr>
      <w:t xml:space="preserve">	</w:t>
    </w:r>
    <w:r>
      <w:rPr>
        <w:rFonts w:ascii="Arial" w:cs="Arial" w:eastAsia="Arial" w:hAnsi="Arial"/>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9360"/>
    </w:tblGrid>
    <w:tr>
      <w:tc>
        <w:tcPr>
          <w:tcW w:type="dxa" w:w="9360"/>
          <w:tcBorders>
            <w:bottom w:val="single" w:color="D26F2A" w:sz="8"/>
          </w:tcBorders>
          <w:tcMar>
            <w:top w:type="dxa" w:w="20"/>
            <w:left w:type="dxa" w:w="0"/>
            <w:bottom w:type="dxa" w:w="80"/>
            <w:right w:type="dxa" w:w="0"/>
          </w:tcMar>
        </w:tcPr>
        <w:p>
          <w:r>
            <w:drawing>
              <wp:inline distT="0" distB="0" distL="0" distR="0">
                <wp:extent cx="1162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62050" cy="5715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87ae2c23043fbf8e2030696242c3efc537c280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2026-07-01T01:48:08.879Z</dcterms:created>
  <dcterms:modified xsi:type="dcterms:W3CDTF">2026-07-01T01:48:08.890Z</dcterms:modified>
</cp:coreProperties>
</file>

<file path=docProps/custom.xml><?xml version="1.0" encoding="utf-8"?>
<Properties xmlns="http://schemas.openxmlformats.org/officeDocument/2006/custom-properties" xmlns:vt="http://schemas.openxmlformats.org/officeDocument/2006/docPropsVTypes"/>
</file>