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2011680" cy="6512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_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51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pBdr>
          <w:bottom w:val="single" w:sz="10" w:space="3" w:color="C89430"/>
        </w:pBdr>
      </w:pPr>
    </w:p>
    <w:p>
      <w:pPr>
        <w:spacing w:after="40"/>
      </w:pPr>
      <w:r>
        <w:rPr>
          <w:rFonts w:ascii="Century Gothic" w:hAnsi="Century Gothic"/>
          <w:b/>
          <w:color w:val="1E3C36"/>
          <w:sz w:val="44"/>
        </w:rPr>
        <w:t>EMAIL TEMPLATE — Application &amp; Budget Request</w:t>
      </w: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STAGE 02 · SENT AFTER THE BORROWER SIGNS BACK THE LOAN PROPOSAL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b/>
          <w:color w:val="1E3C36"/>
          <w:sz w:val="21"/>
        </w:rPr>
        <w:t>Subject:</w:t>
      </w:r>
      <w:r>
        <w:rPr>
          <w:color w:val="2E3B38"/>
          <w:sz w:val="21"/>
        </w:rPr>
        <w:t xml:space="preserve"> Next steps — {{PROPERTY_ADDRESS}}</w:t>
      </w:r>
    </w:p>
    <w:p>
      <w:pPr>
        <w:spacing w:after="120"/>
        <w:pBdr>
          <w:bottom w:val="single" w:sz="4" w:space="3" w:color="DFD8C8"/>
        </w:pBdr>
      </w:pPr>
    </w:p>
    <w:p>
      <w:pPr>
        <w:spacing w:after="120"/>
      </w:pPr>
      <w:r>
        <w:rPr>
          <w:color w:val="2E3B38"/>
          <w:sz w:val="21"/>
        </w:rPr>
        <w:t>Hi {{BORROWER_FIRST_NAME}},</w:t>
      </w:r>
    </w:p>
    <w:p>
      <w:pPr>
        <w:spacing w:after="120"/>
      </w:pPr>
      <w:r>
        <w:rPr>
          <w:color w:val="2E3B38"/>
          <w:sz w:val="21"/>
        </w:rPr>
        <w:t>Thanks for signing back the loan proposal on {{PROPERTY_ADDRESS}}. Here's what we need to move forward.</w:t>
      </w:r>
    </w:p>
    <w:p>
      <w:pPr>
        <w:spacing w:after="120"/>
      </w:pPr>
      <w:r>
        <w:rPr>
          <w:b/>
          <w:color w:val="1E3C36"/>
          <w:sz w:val="21"/>
        </w:rPr>
        <w:t>1. Loan application</w:t>
      </w:r>
    </w:p>
    <w:p>
      <w:pPr>
        <w:spacing w:after="120"/>
      </w:pPr>
      <w:r>
        <w:rPr>
          <w:color w:val="2E3B38"/>
          <w:sz w:val="21"/>
        </w:rPr>
        <w:t xml:space="preserve">Complete it online here: </w:t>
      </w:r>
      <w:r>
        <w:rPr>
          <w:b/>
          <w:color w:val="1E3C36"/>
          <w:sz w:val="21"/>
        </w:rPr>
        <w:t>{{APPLICATION_LINK}}</w:t>
      </w:r>
    </w:p>
    <w:p>
      <w:pPr>
        <w:spacing w:after="120"/>
      </w:pPr>
      <w:r>
        <w:rPr>
          <w:color w:val="2E3B38"/>
          <w:sz w:val="21"/>
        </w:rPr>
        <w:t>It takes about 15 minutes. If you'd rather fill it out by hand, the same form is attached as a PDF — just sign it and email it back.</w:t>
      </w:r>
    </w:p>
    <w:p>
      <w:pPr>
        <w:spacing w:after="120"/>
      </w:pPr>
      <w:r>
        <w:rPr>
          <w:b/>
          <w:color w:val="1E3C36"/>
          <w:sz w:val="21"/>
        </w:rPr>
        <w:t>2. Credit authorization</w:t>
      </w:r>
    </w:p>
    <w:p>
      <w:pPr>
        <w:spacing w:after="120"/>
      </w:pPr>
      <w:r>
        <w:rPr>
          <w:color w:val="2E3B38"/>
          <w:sz w:val="21"/>
        </w:rPr>
        <w:t xml:space="preserve">Attached as a PDF. </w:t>
      </w:r>
      <w:r>
        <w:rPr>
          <w:b/>
          <w:color w:val="1E3C36"/>
          <w:sz w:val="21"/>
        </w:rPr>
        <w:t>We need a separate signed form from every principal and every guarantor</w:t>
      </w:r>
      <w:r>
        <w:rPr>
          <w:color w:val="2E3B38"/>
          <w:sz w:val="21"/>
        </w:rPr>
        <w:t xml:space="preserve"> — no exceptions. We run credit and a background check on each person individually, so one form per person, each with their own information and signature.</w:t>
      </w:r>
    </w:p>
    <w:p>
      <w:pPr>
        <w:spacing w:after="120"/>
      </w:pPr>
      <w:r>
        <w:rPr>
          <w:color w:val="2E3B38"/>
          <w:sz w:val="21"/>
        </w:rPr>
        <w:t>A one-time background check fee of $120 is due at closing — that covers everyone, no matter how many principals you have.</w:t>
      </w:r>
    </w:p>
    <w:p>
      <w:pPr>
        <w:spacing w:after="120"/>
      </w:pPr>
      <w:r>
        <w:rPr>
          <w:b/>
          <w:color w:val="1E3C36"/>
          <w:sz w:val="21"/>
        </w:rPr>
        <w:t>3. Rehab budget and scope of work</w:t>
      </w:r>
    </w:p>
    <w:p>
      <w:pPr>
        <w:spacing w:after="120"/>
      </w:pPr>
      <w:r>
        <w:rPr>
          <w:color w:val="2E3B38"/>
          <w:sz w:val="21"/>
        </w:rPr>
        <w:t>Send us your detailed budget and scope. We need line items, not a single number — demo, framing, roof, HVAC, electrical, plumbing, drywall, flooring, kitchen, baths, paint, exterior, landscaping, permits, and contingency. A blank template is attached if it's helpful.</w:t>
      </w:r>
    </w:p>
    <w:p>
      <w:pPr>
        <w:spacing w:after="120"/>
      </w:pPr>
      <w:r>
        <w:rPr>
          <w:color w:val="2E3B38"/>
          <w:sz w:val="21"/>
        </w:rPr>
        <w:t>This is the piece that drives everything else, so the more detail you give us, the faster we can move.</w:t>
      </w:r>
    </w:p>
    <w:p>
      <w:pPr>
        <w:spacing w:after="120"/>
      </w:pPr>
      <w:r>
        <w:rPr>
          <w:b/>
          <w:color w:val="1E3C36"/>
          <w:sz w:val="21"/>
        </w:rPr>
        <w:t>What happens next</w:t>
      </w:r>
    </w:p>
    <w:p>
      <w:pPr>
        <w:spacing w:after="120"/>
      </w:pPr>
      <w:r>
        <w:rPr>
          <w:color w:val="2E3B38"/>
          <w:sz w:val="21"/>
        </w:rPr>
        <w:t xml:space="preserve">Once we have both, we review the budget and scope against the property and confirm the numbers in the proposal. If everything works out, we'll issue you a </w:t>
      </w:r>
      <w:r>
        <w:rPr>
          <w:b/>
          <w:color w:val="1E3C36"/>
          <w:sz w:val="21"/>
        </w:rPr>
        <w:t>conditional approval</w:t>
      </w:r>
      <w:r>
        <w:rPr>
          <w:color w:val="2E3B38"/>
          <w:sz w:val="21"/>
        </w:rPr>
        <w:t>.</w:t>
      </w:r>
    </w:p>
    <w:p>
      <w:pPr>
        <w:spacing w:after="120"/>
      </w:pPr>
      <w:r>
        <w:rPr>
          <w:color w:val="2E3B38"/>
          <w:sz w:val="21"/>
        </w:rPr>
        <w:t>Once you have the conditional approval, we'll send you the list of documents we need to get you closed — your LLC paperwork, insurance, and a few other items. Nothing to gather on that front yet.</w:t>
      </w:r>
    </w:p>
    <w:p>
      <w:pPr>
        <w:spacing w:after="120"/>
      </w:pPr>
      <w:r>
        <w:rPr>
          <w:color w:val="2E3B38"/>
          <w:sz w:val="21"/>
        </w:rPr>
        <w:t>Questions on any of it, just call.</w:t>
      </w:r>
    </w:p>
    <w:p>
      <w:pPr>
        <w:spacing w:after="120"/>
      </w:pPr>
      <w:r>
        <w:rPr>
          <w:color w:val="2E3B38"/>
          <w:sz w:val="21"/>
        </w:rPr>
        <w:t>{{SENDER_NAME}}</w:t>
      </w:r>
    </w:p>
    <w:p>
      <w:pPr>
        <w:spacing w:after="120"/>
      </w:pPr>
      <w:r>
        <w:rPr>
          <w:color w:val="2E3B38"/>
          <w:sz w:val="21"/>
        </w:rPr>
        <w:t>Lazy Dog Capital LLC</w:t>
      </w:r>
    </w:p>
    <w:p>
      <w:pPr>
        <w:spacing w:after="120"/>
      </w:pPr>
      <w:r>
        <w:rPr>
          <w:color w:val="2E3B38"/>
          <w:sz w:val="21"/>
        </w:rPr>
        <w:t>214-740-4989</w:t>
      </w:r>
    </w:p>
    <w:p>
      <w:pPr>
        <w:spacing w:after="120"/>
      </w:pPr>
      <w:r>
        <w:rPr>
          <w:color w:val="2E3B38"/>
          <w:sz w:val="21"/>
        </w:rPr>
        <w:t>3400 N Central Expy #110-217, Richardson, TX 75080</w:t>
      </w:r>
    </w:p>
    <w:p>
      <w:pPr>
        <w:spacing w:after="120"/>
      </w:pPr>
      <w:r>
        <w:rPr>
          <w:b/>
          <w:color w:val="1E3C36"/>
          <w:sz w:val="21"/>
        </w:rPr>
        <w:t>Attached:</w:t>
      </w:r>
      <w:r>
        <w:rPr>
          <w:color w:val="2E3B38"/>
          <w:sz w:val="21"/>
        </w:rPr>
        <w:t xml:space="preserve"> Loan Application (PDF) · Credit Authorization &amp; Background Check Consent (PDF — one per principal and guarantor) · Rehab Budget &amp; Scope of Work template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TOKENS</w:t>
      </w:r>
    </w:p>
    <w:p>
      <w:pPr>
        <w:spacing w:after="120"/>
      </w:pPr>
      <w:r>
        <w:rPr>
          <w:rFonts w:ascii="Consolas" w:hAnsi="Consolas"/>
          <w:color w:val="2E3B38"/>
          <w:sz w:val="21"/>
        </w:rPr>
        <w:t>{{BORROWER_FIRST_NAME}}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{{PROPERTY_ADDRESS}}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{{APPLICATION_LINK}}</w:t>
      </w:r>
      <w:r>
        <w:rPr>
          <w:color w:val="2E3B38"/>
          <w:sz w:val="21"/>
        </w:rPr>
        <w:t xml:space="preserve"> · </w:t>
      </w:r>
      <w:r>
        <w:rPr>
          <w:rFonts w:ascii="Consolas" w:hAnsi="Consolas"/>
          <w:color w:val="2E3B38"/>
          <w:sz w:val="21"/>
        </w:rPr>
        <w:t>{{SENDER_NAME}}</w:t>
      </w:r>
    </w:p>
    <w:p>
      <w:pPr>
        <w:spacing w:after="120"/>
        <w:pBdr>
          <w:bottom w:val="single" w:sz="4" w:space="3" w:color="DFD8C8"/>
        </w:pBdr>
      </w:pPr>
    </w:p>
    <w:p>
      <w:pPr>
        <w:spacing w:before="260" w:after="80"/>
        <w:pBdr>
          <w:bottom w:val="single" w:sz="4" w:space="3" w:color="DFD8C8"/>
        </w:pBdr>
      </w:pPr>
      <w:r>
        <w:rPr>
          <w:rFonts w:ascii="Century Gothic" w:hAnsi="Century Gothic"/>
          <w:b/>
          <w:color w:val="1E3C36"/>
          <w:sz w:val="18"/>
        </w:rPr>
        <w:t>NOTES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Budget and application go out together.</w:t>
      </w:r>
      <w:r>
        <w:rPr>
          <w:color w:val="2E3B38"/>
          <w:sz w:val="21"/>
        </w:rPr>
        <w:t xml:space="preserve"> Both are needed before underwriting, and asking twice slows the deal down.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The revised-proposal line is deliberate.</w:t>
      </w:r>
      <w:r>
        <w:rPr>
          <w:color w:val="2E3B38"/>
          <w:sz w:val="21"/>
        </w:rPr>
        <w:t xml:space="preserve"> It sets the expectation early that the numbers can move once you and Steve verify the budget, so a revision later isn't a surprise.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No entity or insurance documents requested yet.</w:t>
      </w:r>
      <w:r>
        <w:rPr>
          <w:color w:val="2E3B38"/>
          <w:sz w:val="21"/>
        </w:rPr>
        <w:t xml:space="preserve"> Those come at stage 04, after underwriting confirms the deal works. Collecting them earlier wastes the borrower's time on deals that won't close.</w:t>
      </w:r>
    </w:p>
    <w:p>
      <w:pPr>
        <w:pStyle w:val="ListBullet"/>
        <w:spacing w:after="60"/>
      </w:pPr>
      <w:r>
        <w:rPr>
          <w:b/>
          <w:color w:val="1E3C36"/>
          <w:sz w:val="21"/>
        </w:rPr>
        <w:t>Consider adding a response window</w:t>
      </w:r>
      <w:r>
        <w:rPr>
          <w:color w:val="2E3B38"/>
          <w:sz w:val="21"/>
        </w:rPr>
        <w:t xml:space="preserve"> — "we'd like both back within 5 business days" — if deals tend to stall here.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entury Gothic" w:hAnsi="Century Gothic"/>
        <w:color w:val="6B7A75"/>
        <w:sz w:val="14"/>
      </w:rPr>
      <w:t>Lazy Dog Capital LLC  ·  3400 N Central Expy #110-217, Richardson, TX 75080  ·  214-740-4989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Georgia" w:hAnsi="Georgia"/>
      <w:color w:val="2E3B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