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2103120" cy="680829"/>
            <wp:docPr id="1" name="Picture 1"/>
            <wp:cNvGraphicFramePr>
              <a:graphicFrameLocks noChangeAspect="1"/>
            </wp:cNvGraphicFramePr>
            <a:graphic>
              <a:graphicData uri="http://schemas.openxmlformats.org/drawingml/2006/picture">
                <pic:pic>
                  <pic:nvPicPr>
                    <pic:cNvPr id="0" name="horizontal_t.png"/>
                    <pic:cNvPicPr/>
                  </pic:nvPicPr>
                  <pic:blipFill>
                    <a:blip r:embed="rId9"/>
                    <a:stretch>
                      <a:fillRect/>
                    </a:stretch>
                  </pic:blipFill>
                  <pic:spPr>
                    <a:xfrm>
                      <a:off x="0" y="0"/>
                      <a:ext cx="2103120" cy="680829"/>
                    </a:xfrm>
                    <a:prstGeom prst="rect"/>
                  </pic:spPr>
                </pic:pic>
              </a:graphicData>
            </a:graphic>
          </wp:inline>
        </w:drawing>
      </w:r>
    </w:p>
    <w:p>
      <w:pPr>
        <w:spacing w:after="200"/>
        <w:pBdr>
          <w:bottom w:val="single" w:sz="10" w:space="1" w:color="C89430"/>
        </w:pBdr>
      </w:pPr>
    </w:p>
    <w:p>
      <w:pPr>
        <w:spacing w:after="40"/>
      </w:pPr>
      <w:r>
        <w:rPr>
          <w:rFonts w:ascii="Century Gothic" w:hAnsi="Century Gothic"/>
          <w:b/>
          <w:color w:val="1E3C36"/>
          <w:sz w:val="48"/>
        </w:rPr>
        <w:t>Capital Partner Opportunity</w:t>
      </w:r>
    </w:p>
    <w:p>
      <w:pPr>
        <w:spacing w:after="280"/>
      </w:pPr>
      <w:r>
        <w:rPr>
          <w:i/>
          <w:color w:val="6B7A75"/>
          <w:sz w:val="21"/>
        </w:rPr>
        <w:t>Secured private lending for residential real estate · Dallas–Fort Worth</w:t>
      </w:r>
    </w:p>
    <w:p>
      <w:pPr>
        <w:spacing w:before="280" w:after="100"/>
        <w:pBdr>
          <w:bottom w:val="single" w:sz="4" w:space="3" w:color="DFD8C8"/>
        </w:pBdr>
      </w:pPr>
      <w:r>
        <w:rPr>
          <w:rFonts w:ascii="Century Gothic" w:hAnsi="Century Gothic"/>
          <w:b/>
          <w:color w:val="1E3C36"/>
          <w:sz w:val="18"/>
        </w:rPr>
        <w:t>THE OPPORTUNITY</w:t>
      </w:r>
    </w:p>
    <w:p>
      <w:r>
        <w:t>Dallas–Fort Worth is one of the most active fix &amp; flip markets in the country. Experienced flippers need fast, reliable capital — and banks can't move at the speed these deals require.</w:t>
      </w:r>
    </w:p>
    <w:p>
      <w:r>
        <w:t>Private lending fills that gap, and lenders get paid for it. Lazy Dog Capital connects private capital with vetted flippers on short-term loans secured by real property.</w:t>
      </w:r>
    </w:p>
    <w:tbl>
      <w:tblPr>
        <w:tblW w:type="auto" w:w="0"/>
        <w:jc w:val="left"/>
        <w:tblLook w:firstColumn="1" w:firstRow="1" w:lastColumn="0" w:lastRow="0" w:noHBand="0" w:noVBand="1" w:val="04A0"/>
      </w:tblPr>
      <w:tblGrid>
        <w:gridCol w:w="4896"/>
        <w:gridCol w:w="4896"/>
      </w:tblGrid>
      <w:tr>
        <w:tc>
          <w:tcPr>
            <w:tcW w:type="dxa" w:w="2448"/>
            <w:shd w:val="clear" w:fill="F7F6F3"/>
          </w:tcPr>
          <w:p>
            <w:pPr>
              <w:spacing w:after="40"/>
            </w:pPr>
            <w:r>
              <w:rPr>
                <w:b w:val="0"/>
                <w:color w:val="2E3B38"/>
                <w:sz w:val="20"/>
              </w:rPr>
              <w:t>Paid first</w:t>
            </w:r>
          </w:p>
        </w:tc>
        <w:tc>
          <w:tcPr>
            <w:tcW w:type="dxa" w:w="7344"/>
            <w:shd w:val="clear" w:fill="F7F6F3"/>
          </w:tcPr>
          <w:p>
            <w:pPr>
              <w:spacing w:after="40"/>
            </w:pPr>
            <w:r>
              <w:rPr>
                <w:b w:val="0"/>
                <w:color w:val="2E3B38"/>
                <w:sz w:val="20"/>
              </w:rPr>
              <w:t>A recorded first-priority claim, ahead of our own money</w:t>
            </w:r>
          </w:p>
        </w:tc>
      </w:tr>
      <w:tr>
        <w:tc>
          <w:tcPr>
            <w:tcW w:type="dxa" w:w="2448"/>
            <w:shd w:val="clear" w:fill="FFFFFF"/>
          </w:tcPr>
          <w:p>
            <w:pPr>
              <w:spacing w:after="40"/>
            </w:pPr>
            <w:r>
              <w:rPr>
                <w:b w:val="0"/>
                <w:color w:val="2E3B38"/>
                <w:sz w:val="20"/>
              </w:rPr>
              <w:t>80% max</w:t>
            </w:r>
          </w:p>
        </w:tc>
        <w:tc>
          <w:tcPr>
            <w:tcW w:type="dxa" w:w="7344"/>
            <w:shd w:val="clear" w:fill="FFFFFF"/>
          </w:tcPr>
          <w:p>
            <w:pPr>
              <w:spacing w:after="40"/>
            </w:pPr>
            <w:r>
              <w:rPr>
                <w:b w:val="0"/>
                <w:color w:val="2E3B38"/>
                <w:sz w:val="20"/>
              </w:rPr>
              <w:t>Every loan capped at 80% of after-repair value</w:t>
            </w:r>
          </w:p>
        </w:tc>
      </w:tr>
      <w:tr>
        <w:tc>
          <w:tcPr>
            <w:tcW w:type="dxa" w:w="2448"/>
            <w:shd w:val="clear" w:fill="F7F6F3"/>
          </w:tcPr>
          <w:p>
            <w:pPr>
              <w:spacing w:after="40"/>
            </w:pPr>
            <w:r>
              <w:rPr>
                <w:b w:val="0"/>
                <w:color w:val="2E3B38"/>
                <w:sz w:val="20"/>
              </w:rPr>
              <w:t>7–9 months</w:t>
            </w:r>
          </w:p>
        </w:tc>
        <w:tc>
          <w:tcPr>
            <w:tcW w:type="dxa" w:w="7344"/>
            <w:shd w:val="clear" w:fill="F7F6F3"/>
          </w:tcPr>
          <w:p>
            <w:pPr>
              <w:spacing w:after="40"/>
            </w:pPr>
            <w:r>
              <w:rPr>
                <w:b w:val="0"/>
                <w:color w:val="2E3B38"/>
                <w:sz w:val="20"/>
              </w:rPr>
              <w:t>Expected time frame — principal back at payoff</w:t>
            </w:r>
          </w:p>
        </w:tc>
      </w:tr>
      <w:tr>
        <w:tc>
          <w:tcPr>
            <w:tcW w:type="dxa" w:w="2448"/>
            <w:shd w:val="clear" w:fill="FFFFFF"/>
          </w:tcPr>
          <w:p>
            <w:pPr>
              <w:spacing w:after="40"/>
            </w:pPr>
            <w:r>
              <w:rPr>
                <w:b w:val="0"/>
                <w:color w:val="2E3B38"/>
                <w:sz w:val="20"/>
              </w:rPr>
              <w:t>5.5–7.0%</w:t>
            </w:r>
          </w:p>
        </w:tc>
        <w:tc>
          <w:tcPr>
            <w:tcW w:type="dxa" w:w="7344"/>
            <w:shd w:val="clear" w:fill="FFFFFF"/>
          </w:tcPr>
          <w:p>
            <w:pPr>
              <w:spacing w:after="40"/>
            </w:pPr>
            <w:r>
              <w:rPr>
                <w:b w:val="0"/>
                <w:color w:val="2E3B38"/>
                <w:sz w:val="20"/>
              </w:rPr>
              <w:t>Annualized rate, paid monthly</w:t>
            </w:r>
          </w:p>
        </w:tc>
      </w:tr>
    </w:tbl>
    <w:p>
      <w:pPr>
        <w:spacing w:before="280" w:after="100"/>
        <w:pBdr>
          <w:bottom w:val="single" w:sz="4" w:space="3" w:color="DFD8C8"/>
        </w:pBdr>
      </w:pPr>
      <w:r>
        <w:rPr>
          <w:rFonts w:ascii="Century Gothic" w:hAnsi="Century Gothic"/>
          <w:b/>
          <w:color w:val="1E3C36"/>
          <w:sz w:val="18"/>
        </w:rPr>
        <w:t>HOW IT WORKS</w:t>
      </w:r>
    </w:p>
    <w:p>
      <w:pPr>
        <w:spacing w:after="100"/>
      </w:pPr>
      <w:r>
        <w:rPr>
          <w:b/>
          <w:color w:val="C89430"/>
          <w:sz w:val="21"/>
        </w:rPr>
        <w:t xml:space="preserve">1.  </w:t>
      </w:r>
      <w:r>
        <w:rPr>
          <w:b w:val="0"/>
          <w:color w:val="2E3B38"/>
          <w:sz w:val="21"/>
        </w:rPr>
        <w:t>We identify and underwrite a deal with an experienced flipper.</w:t>
      </w:r>
    </w:p>
    <w:p>
      <w:pPr>
        <w:spacing w:after="100"/>
      </w:pPr>
      <w:r>
        <w:rPr>
          <w:b/>
          <w:color w:val="C89430"/>
          <w:sz w:val="21"/>
        </w:rPr>
        <w:t xml:space="preserve">2.  </w:t>
      </w:r>
      <w:r>
        <w:rPr>
          <w:b w:val="0"/>
          <w:color w:val="2E3B38"/>
          <w:sz w:val="21"/>
        </w:rPr>
        <w:t>Lazy Dog makes one first-lien loan to the borrower — 80% of after-repair value — secured by a recorded first-lien deed of trust.</w:t>
      </w:r>
    </w:p>
    <w:p>
      <w:pPr>
        <w:spacing w:after="100"/>
      </w:pPr>
      <w:r>
        <w:rPr>
          <w:b/>
          <w:color w:val="C89430"/>
          <w:sz w:val="21"/>
        </w:rPr>
        <w:t xml:space="preserve">3.  </w:t>
      </w:r>
      <w:r>
        <w:rPr>
          <w:b w:val="0"/>
          <w:color w:val="2E3B38"/>
          <w:sz w:val="21"/>
        </w:rPr>
        <w:t>You fund your share: 45–60% of that loan.</w:t>
      </w:r>
    </w:p>
    <w:p>
      <w:pPr>
        <w:spacing w:after="100"/>
      </w:pPr>
      <w:r>
        <w:rPr>
          <w:b/>
          <w:color w:val="C89430"/>
          <w:sz w:val="21"/>
        </w:rPr>
        <w:t xml:space="preserve">4.  </w:t>
      </w:r>
      <w:r>
        <w:rPr>
          <w:b w:val="0"/>
          <w:color w:val="2E3B38"/>
          <w:sz w:val="21"/>
        </w:rPr>
        <w:t>You hold a recorded assignment of the first lien — a first-priority claim for your investment amount, ahead of our own money.</w:t>
      </w:r>
    </w:p>
    <w:p>
      <w:pPr>
        <w:spacing w:after="100"/>
      </w:pPr>
      <w:r>
        <w:rPr>
          <w:b/>
          <w:color w:val="C89430"/>
          <w:sz w:val="21"/>
        </w:rPr>
        <w:t xml:space="preserve">5.  </w:t>
      </w:r>
      <w:r>
        <w:rPr>
          <w:b w:val="0"/>
          <w:color w:val="2E3B38"/>
          <w:sz w:val="21"/>
        </w:rPr>
        <w:t>The borrower puts in 10% of the purchase price and pays monthly interest; at payoff, your principal comes back first.</w:t>
      </w:r>
    </w:p>
    <w:p>
      <w:pPr>
        <w:spacing w:after="140"/>
      </w:pPr>
      <w:r>
        <w:rPr>
          <w:b/>
          <w:color w:val="1E3C36"/>
          <w:sz w:val="21"/>
        </w:rPr>
        <w:t>Every loan is capped at 80% of after-repair value</w:t>
      </w:r>
      <w:r>
        <w:rPr>
          <w:b w:val="0"/>
          <w:color w:val="2E3B38"/>
          <w:sz w:val="21"/>
        </w:rPr>
        <w:t xml:space="preserve"> — our hard limit on how much sits against a property.</w:t>
      </w:r>
    </w:p>
    <w:p>
      <w:pPr>
        <w:spacing w:before="280" w:after="100"/>
        <w:pBdr>
          <w:bottom w:val="single" w:sz="4" w:space="3" w:color="DFD8C8"/>
        </w:pBdr>
      </w:pPr>
      <w:r>
        <w:rPr>
          <w:rFonts w:ascii="Century Gothic" w:hAnsi="Century Gothic"/>
          <w:b/>
          <w:color w:val="1E3C36"/>
          <w:sz w:val="18"/>
        </w:rPr>
        <w:t>A SAMPLE DEAL</w:t>
      </w:r>
    </w:p>
    <w:tbl>
      <w:tblPr>
        <w:tblW w:type="auto" w:w="0"/>
        <w:jc w:val="left"/>
        <w:tblLook w:firstColumn="1" w:firstRow="1" w:lastColumn="0" w:lastRow="0" w:noHBand="0" w:noVBand="1" w:val="04A0"/>
      </w:tblPr>
      <w:tblGrid>
        <w:gridCol w:w="4896"/>
        <w:gridCol w:w="4896"/>
      </w:tblGrid>
      <w:tr>
        <w:tc>
          <w:tcPr>
            <w:tcW w:type="dxa" w:w="4896"/>
            <w:shd w:val="clear" w:fill="F7F6F3"/>
          </w:tcPr>
          <w:p>
            <w:pPr>
              <w:spacing w:after="40"/>
            </w:pPr>
            <w:r>
              <w:rPr>
                <w:b w:val="0"/>
                <w:color w:val="2E3B38"/>
                <w:sz w:val="20"/>
              </w:rPr>
              <w:t>Appraisal (ARV)</w:t>
            </w:r>
          </w:p>
        </w:tc>
        <w:tc>
          <w:tcPr>
            <w:tcW w:type="dxa" w:w="4896"/>
            <w:shd w:val="clear" w:fill="F7F6F3"/>
          </w:tcPr>
          <w:p>
            <w:pPr>
              <w:spacing w:after="40"/>
            </w:pPr>
            <w:r>
              <w:rPr>
                <w:b w:val="0"/>
                <w:color w:val="2E3B38"/>
                <w:sz w:val="20"/>
              </w:rPr>
              <w:t>$320,000</w:t>
            </w:r>
          </w:p>
        </w:tc>
      </w:tr>
      <w:tr>
        <w:tc>
          <w:tcPr>
            <w:tcW w:type="dxa" w:w="4896"/>
            <w:shd w:val="clear" w:fill="FFFFFF"/>
          </w:tcPr>
          <w:p>
            <w:pPr>
              <w:spacing w:after="40"/>
            </w:pPr>
            <w:r>
              <w:rPr>
                <w:b w:val="0"/>
                <w:color w:val="2E3B38"/>
                <w:sz w:val="20"/>
              </w:rPr>
              <w:t>Loan (recorded first lien)</w:t>
            </w:r>
          </w:p>
        </w:tc>
        <w:tc>
          <w:tcPr>
            <w:tcW w:type="dxa" w:w="4896"/>
            <w:shd w:val="clear" w:fill="FFFFFF"/>
          </w:tcPr>
          <w:p>
            <w:pPr>
              <w:spacing w:after="40"/>
            </w:pPr>
            <w:r>
              <w:rPr>
                <w:b w:val="0"/>
                <w:color w:val="2E3B38"/>
                <w:sz w:val="20"/>
              </w:rPr>
              <w:t>$256,000</w:t>
            </w:r>
          </w:p>
        </w:tc>
      </w:tr>
      <w:tr>
        <w:tc>
          <w:tcPr>
            <w:tcW w:type="dxa" w:w="4896"/>
            <w:shd w:val="clear" w:fill="F7F6F3"/>
          </w:tcPr>
          <w:p>
            <w:pPr>
              <w:spacing w:after="40"/>
            </w:pPr>
            <w:r>
              <w:rPr>
                <w:b w:val="0"/>
                <w:color w:val="2E3B38"/>
                <w:sz w:val="20"/>
              </w:rPr>
              <w:t>Purchase price</w:t>
            </w:r>
          </w:p>
        </w:tc>
        <w:tc>
          <w:tcPr>
            <w:tcW w:type="dxa" w:w="4896"/>
            <w:shd w:val="clear" w:fill="F7F6F3"/>
          </w:tcPr>
          <w:p>
            <w:pPr>
              <w:spacing w:after="40"/>
            </w:pPr>
            <w:r>
              <w:rPr>
                <w:b w:val="0"/>
                <w:color w:val="2E3B38"/>
                <w:sz w:val="20"/>
              </w:rPr>
              <w:t>$200,000</w:t>
            </w:r>
          </w:p>
        </w:tc>
      </w:tr>
      <w:tr>
        <w:tc>
          <w:tcPr>
            <w:tcW w:type="dxa" w:w="4896"/>
            <w:shd w:val="clear" w:fill="FFFFFF"/>
          </w:tcPr>
          <w:p>
            <w:pPr>
              <w:spacing w:after="40"/>
            </w:pPr>
            <w:r>
              <w:rPr>
                <w:b w:val="0"/>
                <w:color w:val="2E3B38"/>
                <w:sz w:val="20"/>
              </w:rPr>
              <w:t>Rehab budget</w:t>
            </w:r>
          </w:p>
        </w:tc>
        <w:tc>
          <w:tcPr>
            <w:tcW w:type="dxa" w:w="4896"/>
            <w:shd w:val="clear" w:fill="FFFFFF"/>
          </w:tcPr>
          <w:p>
            <w:pPr>
              <w:spacing w:after="40"/>
            </w:pPr>
            <w:r>
              <w:rPr>
                <w:b w:val="0"/>
                <w:color w:val="2E3B38"/>
                <w:sz w:val="20"/>
              </w:rPr>
              <w:t>$50,000</w:t>
            </w:r>
          </w:p>
        </w:tc>
      </w:tr>
      <w:tr>
        <w:tc>
          <w:tcPr>
            <w:tcW w:type="dxa" w:w="4896"/>
            <w:shd w:val="clear" w:fill="F7F6F3"/>
          </w:tcPr>
          <w:p>
            <w:pPr>
              <w:spacing w:after="40"/>
            </w:pPr>
            <w:r>
              <w:rPr>
                <w:b w:val="0"/>
                <w:color w:val="2E3B38"/>
                <w:sz w:val="20"/>
              </w:rPr>
              <w:t>Estimated time</w:t>
            </w:r>
          </w:p>
        </w:tc>
        <w:tc>
          <w:tcPr>
            <w:tcW w:type="dxa" w:w="4896"/>
            <w:shd w:val="clear" w:fill="F7F6F3"/>
          </w:tcPr>
          <w:p>
            <w:pPr>
              <w:spacing w:after="40"/>
            </w:pPr>
            <w:r>
              <w:rPr>
                <w:b w:val="0"/>
                <w:color w:val="2E3B38"/>
                <w:sz w:val="20"/>
              </w:rPr>
              <w:t>7 – 9 months</w:t>
            </w:r>
          </w:p>
        </w:tc>
      </w:tr>
    </w:tbl>
    <w:p>
      <w:r>
        <w:t>The borrower's $256,000 first-lien note is assigned to you. At the 55% tier you are paid in full: your $140,800 plus $6,864 interest — $147,664 total. Payable anytime, no penalty.</w:t>
      </w:r>
    </w:p>
    <w:p>
      <w:pPr>
        <w:spacing w:before="280" w:after="100"/>
        <w:pBdr>
          <w:bottom w:val="single" w:sz="4" w:space="3" w:color="DFD8C8"/>
        </w:pBdr>
      </w:pPr>
      <w:r>
        <w:rPr>
          <w:rFonts w:ascii="Century Gothic" w:hAnsi="Century Gothic"/>
          <w:b/>
          <w:color w:val="1E3C36"/>
          <w:sz w:val="18"/>
        </w:rPr>
        <w:t>THE CAPITAL STACK</w:t>
      </w:r>
    </w:p>
    <w:tbl>
      <w:tblPr>
        <w:tblW w:type="auto" w:w="0"/>
        <w:jc w:val="left"/>
        <w:tblLook w:firstColumn="1" w:firstRow="1" w:lastColumn="0" w:lastRow="0" w:noHBand="0" w:noVBand="1" w:val="04A0"/>
      </w:tblPr>
      <w:tblGrid>
        <w:gridCol w:w="3264"/>
        <w:gridCol w:w="3264"/>
        <w:gridCol w:w="3264"/>
      </w:tblGrid>
      <w:tr>
        <w:tc>
          <w:tcPr>
            <w:tcW w:type="dxa" w:w="5184"/>
            <w:shd w:val="clear" w:fill="1E3C36"/>
          </w:tcPr>
          <w:p>
            <w:pPr>
              <w:spacing w:after="40"/>
            </w:pPr>
            <w:r>
              <w:rPr>
                <w:rFonts w:ascii="Century Gothic" w:hAnsi="Century Gothic"/>
                <w:b/>
                <w:color w:val="F0EADE"/>
                <w:sz w:val="16"/>
              </w:rPr>
              <w:t>POSITION</w:t>
            </w:r>
          </w:p>
        </w:tc>
        <w:tc>
          <w:tcPr>
            <w:tcW w:type="dxa" w:w="2592"/>
            <w:shd w:val="clear" w:fill="1E3C36"/>
          </w:tcPr>
          <w:p>
            <w:pPr>
              <w:spacing w:after="40"/>
            </w:pPr>
            <w:r>
              <w:rPr>
                <w:rFonts w:ascii="Century Gothic" w:hAnsi="Century Gothic"/>
                <w:b/>
                <w:color w:val="F0EADE"/>
                <w:sz w:val="16"/>
              </w:rPr>
              <w:t>AMOUNT</w:t>
            </w:r>
          </w:p>
        </w:tc>
        <w:tc>
          <w:tcPr>
            <w:tcW w:type="dxa" w:w="2016"/>
            <w:shd w:val="clear" w:fill="1E3C36"/>
          </w:tcPr>
          <w:p>
            <w:pPr>
              <w:spacing w:after="40"/>
            </w:pPr>
            <w:r>
              <w:rPr>
                <w:rFonts w:ascii="Century Gothic" w:hAnsi="Century Gothic"/>
                <w:b/>
                <w:color w:val="F0EADE"/>
                <w:sz w:val="16"/>
              </w:rPr>
              <w:t>PAID</w:t>
            </w:r>
          </w:p>
        </w:tc>
      </w:tr>
      <w:tr>
        <w:tc>
          <w:tcPr>
            <w:tcW w:type="dxa" w:w="5184"/>
            <w:shd w:val="clear" w:fill="FAF6EC"/>
          </w:tcPr>
          <w:p>
            <w:pPr>
              <w:spacing w:after="40"/>
            </w:pPr>
            <w:r>
              <w:rPr>
                <w:b/>
                <w:color w:val="1E3C36"/>
                <w:sz w:val="20"/>
              </w:rPr>
              <w:t>Capital Partner</w:t>
            </w:r>
          </w:p>
        </w:tc>
        <w:tc>
          <w:tcPr>
            <w:tcW w:type="dxa" w:w="2592"/>
            <w:shd w:val="clear" w:fill="FAF6EC"/>
          </w:tcPr>
          <w:p>
            <w:pPr>
              <w:spacing w:after="40"/>
            </w:pPr>
            <w:r>
              <w:rPr>
                <w:b/>
                <w:color w:val="1E3C36"/>
                <w:sz w:val="20"/>
              </w:rPr>
              <w:t>$140,800</w:t>
            </w:r>
          </w:p>
        </w:tc>
        <w:tc>
          <w:tcPr>
            <w:tcW w:type="dxa" w:w="2016"/>
            <w:shd w:val="clear" w:fill="FAF6EC"/>
          </w:tcPr>
          <w:p>
            <w:pPr>
              <w:spacing w:after="40"/>
            </w:pPr>
            <w:r>
              <w:rPr>
                <w:b/>
                <w:color w:val="1E3C36"/>
                <w:sz w:val="20"/>
              </w:rPr>
              <w:t>First</w:t>
            </w:r>
          </w:p>
        </w:tc>
      </w:tr>
      <w:tr>
        <w:tc>
          <w:tcPr>
            <w:tcW w:type="dxa" w:w="5184"/>
          </w:tcPr>
          <w:p>
            <w:pPr>
              <w:spacing w:after="40"/>
            </w:pPr>
            <w:r>
              <w:rPr>
                <w:b w:val="0"/>
                <w:color w:val="2E3B38"/>
                <w:sz w:val="20"/>
              </w:rPr>
              <w:t>Lazy Dog Capital</w:t>
            </w:r>
          </w:p>
        </w:tc>
        <w:tc>
          <w:tcPr>
            <w:tcW w:type="dxa" w:w="2592"/>
          </w:tcPr>
          <w:p>
            <w:pPr>
              <w:spacing w:after="40"/>
            </w:pPr>
            <w:r>
              <w:rPr>
                <w:b w:val="0"/>
                <w:color w:val="2E3B38"/>
                <w:sz w:val="20"/>
              </w:rPr>
              <w:t>$115,200</w:t>
            </w:r>
          </w:p>
        </w:tc>
        <w:tc>
          <w:tcPr>
            <w:tcW w:type="dxa" w:w="2016"/>
          </w:tcPr>
          <w:p>
            <w:pPr>
              <w:spacing w:after="40"/>
            </w:pPr>
            <w:r>
              <w:rPr>
                <w:b w:val="0"/>
                <w:color w:val="2E3B38"/>
                <w:sz w:val="20"/>
              </w:rPr>
              <w:t>Next</w:t>
            </w:r>
          </w:p>
        </w:tc>
      </w:tr>
      <w:tr>
        <w:tc>
          <w:tcPr>
            <w:tcW w:type="dxa" w:w="5184"/>
          </w:tcPr>
          <w:p>
            <w:pPr>
              <w:spacing w:after="40"/>
            </w:pPr>
            <w:r>
              <w:rPr>
                <w:b w:val="0"/>
                <w:color w:val="2E3B38"/>
                <w:sz w:val="20"/>
              </w:rPr>
              <w:t>Borrower down payment (equity)</w:t>
            </w:r>
          </w:p>
        </w:tc>
        <w:tc>
          <w:tcPr>
            <w:tcW w:type="dxa" w:w="2592"/>
          </w:tcPr>
          <w:p>
            <w:pPr>
              <w:spacing w:after="40"/>
            </w:pPr>
            <w:r>
              <w:rPr>
                <w:b w:val="0"/>
                <w:color w:val="2E3B38"/>
                <w:sz w:val="20"/>
              </w:rPr>
              <w:t>$20,000</w:t>
            </w:r>
          </w:p>
        </w:tc>
        <w:tc>
          <w:tcPr>
            <w:tcW w:type="dxa" w:w="2016"/>
          </w:tcPr>
          <w:p>
            <w:pPr>
              <w:spacing w:after="40"/>
            </w:pPr>
            <w:r>
              <w:rPr>
                <w:b w:val="0"/>
                <w:color w:val="2E3B38"/>
                <w:sz w:val="20"/>
              </w:rPr>
              <w:t>Last</w:t>
            </w:r>
          </w:p>
        </w:tc>
      </w:tr>
    </w:tbl>
    <w:p>
      <w:r>
        <w:t>You and Lazy Dog fund the $256,000 loan; the borrower's $20,000 down payment is equity beneath it — the first money to absorb any loss. Repayment order in any payoff or foreclosure: costs first, then you by recorded collateral assignment, then Lazy Dog, then the borrower.</w:t>
      </w:r>
    </w:p>
    <w:p>
      <w:pPr>
        <w:spacing w:before="280" w:after="100"/>
        <w:pBdr>
          <w:bottom w:val="single" w:sz="4" w:space="3" w:color="DFD8C8"/>
        </w:pBdr>
      </w:pPr>
      <w:r>
        <w:rPr>
          <w:rFonts w:ascii="Century Gothic" w:hAnsi="Century Gothic"/>
          <w:b/>
          <w:color w:val="1E3C36"/>
          <w:sz w:val="18"/>
        </w:rPr>
        <w:t>YOUR RETURN</w:t>
      </w:r>
    </w:p>
    <w:tbl>
      <w:tblPr>
        <w:tblW w:type="auto" w:w="0"/>
        <w:jc w:val="left"/>
        <w:tblLook w:firstColumn="1" w:firstRow="1" w:lastColumn="0" w:lastRow="0" w:noHBand="0" w:noVBand="1" w:val="04A0"/>
      </w:tblPr>
      <w:tblGrid>
        <w:gridCol w:w="1632"/>
        <w:gridCol w:w="1632"/>
        <w:gridCol w:w="1632"/>
        <w:gridCol w:w="1632"/>
        <w:gridCol w:w="1632"/>
        <w:gridCol w:w="1632"/>
      </w:tblGrid>
      <w:tr>
        <w:tc>
          <w:tcPr>
            <w:tcW w:type="dxa" w:w="2016"/>
            <w:shd w:val="clear" w:fill="1E3C36"/>
          </w:tcPr>
          <w:p>
            <w:pPr>
              <w:spacing w:after="40"/>
            </w:pPr>
            <w:r>
              <w:rPr>
                <w:rFonts w:ascii="Century Gothic" w:hAnsi="Century Gothic"/>
                <w:b/>
                <w:color w:val="F0EADE"/>
                <w:sz w:val="16"/>
              </w:rPr>
              <w:t>YOUR SHARE</w:t>
            </w:r>
          </w:p>
        </w:tc>
        <w:tc>
          <w:tcPr>
            <w:tcW w:type="dxa" w:w="1656"/>
            <w:shd w:val="clear" w:fill="1E3C36"/>
          </w:tcPr>
          <w:p>
            <w:pPr>
              <w:spacing w:after="40"/>
            </w:pPr>
            <w:r>
              <w:rPr>
                <w:rFonts w:ascii="Century Gothic" w:hAnsi="Century Gothic"/>
                <w:b/>
                <w:color w:val="F0EADE"/>
                <w:sz w:val="16"/>
              </w:rPr>
              <w:t>YOU FUND</w:t>
            </w:r>
          </w:p>
        </w:tc>
        <w:tc>
          <w:tcPr>
            <w:tcW w:type="dxa" w:w="1368"/>
            <w:shd w:val="clear" w:fill="1E3C36"/>
          </w:tcPr>
          <w:p>
            <w:pPr>
              <w:spacing w:after="40"/>
            </w:pPr>
            <w:r>
              <w:rPr>
                <w:rFonts w:ascii="Century Gothic" w:hAnsi="Century Gothic"/>
                <w:b/>
                <w:color w:val="F0EADE"/>
                <w:sz w:val="16"/>
              </w:rPr>
              <w:t>YOUR RATE</w:t>
            </w:r>
          </w:p>
        </w:tc>
        <w:tc>
          <w:tcPr>
            <w:tcW w:type="dxa" w:w="1296"/>
            <w:shd w:val="clear" w:fill="1E3C36"/>
          </w:tcPr>
          <w:p>
            <w:pPr>
              <w:spacing w:after="40"/>
            </w:pPr>
            <w:r>
              <w:rPr>
                <w:rFonts w:ascii="Century Gothic" w:hAnsi="Century Gothic"/>
                <w:b/>
                <w:color w:val="F0EADE"/>
                <w:sz w:val="16"/>
              </w:rPr>
              <w:t>MONTHLY</w:t>
            </w:r>
          </w:p>
        </w:tc>
        <w:tc>
          <w:tcPr>
            <w:tcW w:type="dxa" w:w="1728"/>
            <w:shd w:val="clear" w:fill="1E3C36"/>
          </w:tcPr>
          <w:p>
            <w:pPr>
              <w:spacing w:after="40"/>
            </w:pPr>
            <w:r>
              <w:rPr>
                <w:rFonts w:ascii="Century Gothic" w:hAnsi="Century Gothic"/>
                <w:b/>
                <w:color w:val="F0EADE"/>
                <w:sz w:val="16"/>
              </w:rPr>
              <w:t>OVER 9 MONTHS</w:t>
            </w:r>
          </w:p>
        </w:tc>
        <w:tc>
          <w:tcPr>
            <w:tcW w:type="dxa" w:w="1728"/>
            <w:shd w:val="clear" w:fill="1E3C36"/>
          </w:tcPr>
          <w:p>
            <w:pPr>
              <w:spacing w:after="40"/>
            </w:pPr>
            <w:r>
              <w:rPr>
                <w:rFonts w:ascii="Century Gothic" w:hAnsi="Century Gothic"/>
                <w:b/>
                <w:color w:val="F0EADE"/>
                <w:sz w:val="16"/>
              </w:rPr>
              <w:t>TOTAL RETURNED</w:t>
            </w:r>
          </w:p>
        </w:tc>
      </w:tr>
      <w:tr>
        <w:tc>
          <w:tcPr>
            <w:tcW w:type="dxa" w:w="2016"/>
          </w:tcPr>
          <w:p>
            <w:pPr>
              <w:spacing w:after="40"/>
            </w:pPr>
            <w:r>
              <w:rPr>
                <w:b w:val="0"/>
                <w:color w:val="2E3B38"/>
                <w:sz w:val="20"/>
              </w:rPr>
              <w:t>45%</w:t>
            </w:r>
          </w:p>
        </w:tc>
        <w:tc>
          <w:tcPr>
            <w:tcW w:type="dxa" w:w="1656"/>
          </w:tcPr>
          <w:p>
            <w:pPr>
              <w:spacing w:after="40"/>
            </w:pPr>
            <w:r>
              <w:rPr>
                <w:b w:val="0"/>
                <w:color w:val="2E3B38"/>
                <w:sz w:val="20"/>
              </w:rPr>
              <w:t>$115,200</w:t>
            </w:r>
          </w:p>
        </w:tc>
        <w:tc>
          <w:tcPr>
            <w:tcW w:type="dxa" w:w="1368"/>
          </w:tcPr>
          <w:p>
            <w:pPr>
              <w:spacing w:after="40"/>
            </w:pPr>
            <w:r>
              <w:rPr>
                <w:b w:val="0"/>
                <w:color w:val="2E3B38"/>
                <w:sz w:val="20"/>
              </w:rPr>
              <w:t>5.5%</w:t>
            </w:r>
          </w:p>
        </w:tc>
        <w:tc>
          <w:tcPr>
            <w:tcW w:type="dxa" w:w="1296"/>
          </w:tcPr>
          <w:p>
            <w:pPr>
              <w:spacing w:after="40"/>
            </w:pPr>
            <w:r>
              <w:rPr>
                <w:b w:val="0"/>
                <w:color w:val="2E3B38"/>
                <w:sz w:val="20"/>
              </w:rPr>
              <w:t>$528</w:t>
            </w:r>
          </w:p>
        </w:tc>
        <w:tc>
          <w:tcPr>
            <w:tcW w:type="dxa" w:w="1728"/>
          </w:tcPr>
          <w:p>
            <w:pPr>
              <w:spacing w:after="40"/>
            </w:pPr>
            <w:r>
              <w:rPr>
                <w:b w:val="0"/>
                <w:color w:val="2E3B38"/>
                <w:sz w:val="20"/>
              </w:rPr>
              <w:t>$4,752</w:t>
            </w:r>
          </w:p>
        </w:tc>
        <w:tc>
          <w:tcPr>
            <w:tcW w:type="dxa" w:w="1728"/>
          </w:tcPr>
          <w:p>
            <w:pPr>
              <w:spacing w:after="40"/>
            </w:pPr>
            <w:r>
              <w:rPr>
                <w:b w:val="0"/>
                <w:color w:val="2E3B38"/>
                <w:sz w:val="20"/>
              </w:rPr>
              <w:t>$119,952</w:t>
            </w:r>
          </w:p>
        </w:tc>
      </w:tr>
      <w:tr>
        <w:tc>
          <w:tcPr>
            <w:tcW w:type="dxa" w:w="2016"/>
          </w:tcPr>
          <w:p>
            <w:pPr>
              <w:spacing w:after="40"/>
            </w:pPr>
            <w:r>
              <w:rPr>
                <w:b w:val="0"/>
                <w:color w:val="2E3B38"/>
                <w:sz w:val="20"/>
              </w:rPr>
              <w:t>50%</w:t>
            </w:r>
          </w:p>
        </w:tc>
        <w:tc>
          <w:tcPr>
            <w:tcW w:type="dxa" w:w="1656"/>
          </w:tcPr>
          <w:p>
            <w:pPr>
              <w:spacing w:after="40"/>
            </w:pPr>
            <w:r>
              <w:rPr>
                <w:b w:val="0"/>
                <w:color w:val="2E3B38"/>
                <w:sz w:val="20"/>
              </w:rPr>
              <w:t>$128,000</w:t>
            </w:r>
          </w:p>
        </w:tc>
        <w:tc>
          <w:tcPr>
            <w:tcW w:type="dxa" w:w="1368"/>
          </w:tcPr>
          <w:p>
            <w:pPr>
              <w:spacing w:after="40"/>
            </w:pPr>
            <w:r>
              <w:rPr>
                <w:b w:val="0"/>
                <w:color w:val="2E3B38"/>
                <w:sz w:val="20"/>
              </w:rPr>
              <w:t>6.0%</w:t>
            </w:r>
          </w:p>
        </w:tc>
        <w:tc>
          <w:tcPr>
            <w:tcW w:type="dxa" w:w="1296"/>
          </w:tcPr>
          <w:p>
            <w:pPr>
              <w:spacing w:after="40"/>
            </w:pPr>
            <w:r>
              <w:rPr>
                <w:b w:val="0"/>
                <w:color w:val="2E3B38"/>
                <w:sz w:val="20"/>
              </w:rPr>
              <w:t>$640</w:t>
            </w:r>
          </w:p>
        </w:tc>
        <w:tc>
          <w:tcPr>
            <w:tcW w:type="dxa" w:w="1728"/>
          </w:tcPr>
          <w:p>
            <w:pPr>
              <w:spacing w:after="40"/>
            </w:pPr>
            <w:r>
              <w:rPr>
                <w:b w:val="0"/>
                <w:color w:val="2E3B38"/>
                <w:sz w:val="20"/>
              </w:rPr>
              <w:t>$5,760</w:t>
            </w:r>
          </w:p>
        </w:tc>
        <w:tc>
          <w:tcPr>
            <w:tcW w:type="dxa" w:w="1728"/>
          </w:tcPr>
          <w:p>
            <w:pPr>
              <w:spacing w:after="40"/>
            </w:pPr>
            <w:r>
              <w:rPr>
                <w:b w:val="0"/>
                <w:color w:val="2E3B38"/>
                <w:sz w:val="20"/>
              </w:rPr>
              <w:t>$133,760</w:t>
            </w:r>
          </w:p>
        </w:tc>
      </w:tr>
      <w:tr>
        <w:tc>
          <w:tcPr>
            <w:tcW w:type="dxa" w:w="2016"/>
            <w:shd w:val="clear" w:fill="FAF6EC"/>
          </w:tcPr>
          <w:p>
            <w:pPr>
              <w:spacing w:after="40"/>
            </w:pPr>
            <w:r>
              <w:rPr>
                <w:b/>
                <w:color w:val="1E3C36"/>
                <w:sz w:val="20"/>
              </w:rPr>
              <w:t>55% · this deal</w:t>
            </w:r>
          </w:p>
        </w:tc>
        <w:tc>
          <w:tcPr>
            <w:tcW w:type="dxa" w:w="1656"/>
            <w:shd w:val="clear" w:fill="FAF6EC"/>
          </w:tcPr>
          <w:p>
            <w:pPr>
              <w:spacing w:after="40"/>
            </w:pPr>
            <w:r>
              <w:rPr>
                <w:b/>
                <w:color w:val="1E3C36"/>
                <w:sz w:val="20"/>
              </w:rPr>
              <w:t>$140,800</w:t>
            </w:r>
          </w:p>
        </w:tc>
        <w:tc>
          <w:tcPr>
            <w:tcW w:type="dxa" w:w="1368"/>
            <w:shd w:val="clear" w:fill="FAF6EC"/>
          </w:tcPr>
          <w:p>
            <w:pPr>
              <w:spacing w:after="40"/>
            </w:pPr>
            <w:r>
              <w:rPr>
                <w:b/>
                <w:color w:val="1E3C36"/>
                <w:sz w:val="20"/>
              </w:rPr>
              <w:t>6.5%</w:t>
            </w:r>
          </w:p>
        </w:tc>
        <w:tc>
          <w:tcPr>
            <w:tcW w:type="dxa" w:w="1296"/>
            <w:shd w:val="clear" w:fill="FAF6EC"/>
          </w:tcPr>
          <w:p>
            <w:pPr>
              <w:spacing w:after="40"/>
            </w:pPr>
            <w:r>
              <w:rPr>
                <w:b/>
                <w:color w:val="1E3C36"/>
                <w:sz w:val="20"/>
              </w:rPr>
              <w:t>$763</w:t>
            </w:r>
          </w:p>
        </w:tc>
        <w:tc>
          <w:tcPr>
            <w:tcW w:type="dxa" w:w="1728"/>
            <w:shd w:val="clear" w:fill="FAF6EC"/>
          </w:tcPr>
          <w:p>
            <w:pPr>
              <w:spacing w:after="40"/>
            </w:pPr>
            <w:r>
              <w:rPr>
                <w:b/>
                <w:color w:val="1E3C36"/>
                <w:sz w:val="20"/>
              </w:rPr>
              <w:t>$6,864</w:t>
            </w:r>
          </w:p>
        </w:tc>
        <w:tc>
          <w:tcPr>
            <w:tcW w:type="dxa" w:w="1728"/>
            <w:shd w:val="clear" w:fill="FAF6EC"/>
          </w:tcPr>
          <w:p>
            <w:pPr>
              <w:spacing w:after="40"/>
            </w:pPr>
            <w:r>
              <w:rPr>
                <w:b/>
                <w:color w:val="1E3C36"/>
                <w:sz w:val="20"/>
              </w:rPr>
              <w:t>$147,664</w:t>
            </w:r>
          </w:p>
        </w:tc>
      </w:tr>
      <w:tr>
        <w:tc>
          <w:tcPr>
            <w:tcW w:type="dxa" w:w="2016"/>
          </w:tcPr>
          <w:p>
            <w:pPr>
              <w:spacing w:after="40"/>
            </w:pPr>
            <w:r>
              <w:rPr>
                <w:b w:val="0"/>
                <w:color w:val="2E3B38"/>
                <w:sz w:val="20"/>
              </w:rPr>
              <w:t>60%</w:t>
            </w:r>
          </w:p>
        </w:tc>
        <w:tc>
          <w:tcPr>
            <w:tcW w:type="dxa" w:w="1656"/>
          </w:tcPr>
          <w:p>
            <w:pPr>
              <w:spacing w:after="40"/>
            </w:pPr>
            <w:r>
              <w:rPr>
                <w:b w:val="0"/>
                <w:color w:val="2E3B38"/>
                <w:sz w:val="20"/>
              </w:rPr>
              <w:t>$153,600</w:t>
            </w:r>
          </w:p>
        </w:tc>
        <w:tc>
          <w:tcPr>
            <w:tcW w:type="dxa" w:w="1368"/>
          </w:tcPr>
          <w:p>
            <w:pPr>
              <w:spacing w:after="40"/>
            </w:pPr>
            <w:r>
              <w:rPr>
                <w:b w:val="0"/>
                <w:color w:val="2E3B38"/>
                <w:sz w:val="20"/>
              </w:rPr>
              <w:t>7.0%</w:t>
            </w:r>
          </w:p>
        </w:tc>
        <w:tc>
          <w:tcPr>
            <w:tcW w:type="dxa" w:w="1296"/>
          </w:tcPr>
          <w:p>
            <w:pPr>
              <w:spacing w:after="40"/>
            </w:pPr>
            <w:r>
              <w:rPr>
                <w:b w:val="0"/>
                <w:color w:val="2E3B38"/>
                <w:sz w:val="20"/>
              </w:rPr>
              <w:t>$896</w:t>
            </w:r>
          </w:p>
        </w:tc>
        <w:tc>
          <w:tcPr>
            <w:tcW w:type="dxa" w:w="1728"/>
          </w:tcPr>
          <w:p>
            <w:pPr>
              <w:spacing w:after="40"/>
            </w:pPr>
            <w:r>
              <w:rPr>
                <w:b w:val="0"/>
                <w:color w:val="2E3B38"/>
                <w:sz w:val="20"/>
              </w:rPr>
              <w:t>$8,064</w:t>
            </w:r>
          </w:p>
        </w:tc>
        <w:tc>
          <w:tcPr>
            <w:tcW w:type="dxa" w:w="1728"/>
          </w:tcPr>
          <w:p>
            <w:pPr>
              <w:spacing w:after="40"/>
            </w:pPr>
            <w:r>
              <w:rPr>
                <w:b w:val="0"/>
                <w:color w:val="2E3B38"/>
                <w:sz w:val="20"/>
              </w:rPr>
              <w:t>$161,664</w:t>
            </w:r>
          </w:p>
        </w:tc>
      </w:tr>
    </w:tbl>
    <w:p>
      <w:pPr>
        <w:spacing w:after="140"/>
      </w:pPr>
      <w:r>
        <w:rPr>
          <w:b/>
          <w:color w:val="1E3C36"/>
          <w:sz w:val="21"/>
        </w:rPr>
        <w:t xml:space="preserve">No fees touch your return. </w:t>
      </w:r>
      <w:r>
        <w:rPr>
          <w:b w:val="0"/>
          <w:color w:val="2E3B38"/>
          <w:sz w:val="21"/>
        </w:rPr>
        <w:t>Lazy Dog is paid by the borrower — origination points, a flat admin fee, and the interest spread. Every dollar of your rate is yours.</w:t>
      </w:r>
    </w:p>
    <w:p>
      <w:pPr>
        <w:spacing w:before="280" w:after="100"/>
        <w:pBdr>
          <w:bottom w:val="single" w:sz="4" w:space="3" w:color="DFD8C8"/>
        </w:pBdr>
      </w:pPr>
      <w:r>
        <w:rPr>
          <w:rFonts w:ascii="Century Gothic" w:hAnsi="Century Gothic"/>
          <w:b/>
          <w:color w:val="1E3C36"/>
          <w:sz w:val="18"/>
        </w:rPr>
        <w:t>HOW YOU'RE PROTECTED</w:t>
      </w:r>
    </w:p>
    <w:p>
      <w:r>
        <w:t>Your first-priority claim is $140,800 against a $320,000 finished home — 44% of value. At closing, $59,200 of other people's cash sits beneath you. At finish, about $179,200 of cash and equity — 56% of the finished home's value.</w:t>
      </w:r>
    </w:p>
    <w:p>
      <w:pPr>
        <w:spacing w:after="140"/>
      </w:pPr>
      <w:r>
        <w:rPr>
          <w:b/>
          <w:color w:val="1E3C36"/>
          <w:sz w:val="21"/>
        </w:rPr>
        <w:t xml:space="preserve">First-priority from day one. </w:t>
      </w:r>
      <w:r>
        <w:rPr>
          <w:b w:val="0"/>
          <w:color w:val="2E3B38"/>
          <w:sz w:val="21"/>
        </w:rPr>
        <w:t>By a recorded collateral assignment you hold first call on the borrower's first-lien note for the entire $140,800 the day the loan closes. Our $76,000 holdback only enters the property as verified work adds value — so the loan never gets ahead of the home's worth, and your cushion grows every week.</w:t>
      </w:r>
    </w:p>
    <w:p>
      <w:pPr>
        <w:spacing w:before="280" w:after="100"/>
        <w:pBdr>
          <w:bottom w:val="single" w:sz="4" w:space="3" w:color="DFD8C8"/>
        </w:pBdr>
      </w:pPr>
      <w:r>
        <w:rPr>
          <w:rFonts w:ascii="Century Gothic" w:hAnsi="Century Gothic"/>
          <w:b/>
          <w:color w:val="1E3C36"/>
          <w:sz w:val="18"/>
        </w:rPr>
        <w:t>THE DOWNSIDE, STRESS-TESTED</w:t>
      </w:r>
    </w:p>
    <w:tbl>
      <w:tblPr>
        <w:tblW w:type="auto" w:w="0"/>
        <w:jc w:val="left"/>
        <w:tblLook w:firstColumn="1" w:firstRow="1" w:lastColumn="0" w:lastRow="0" w:noHBand="0" w:noVBand="1" w:val="04A0"/>
      </w:tblPr>
      <w:tblGrid>
        <w:gridCol w:w="3264"/>
        <w:gridCol w:w="3264"/>
        <w:gridCol w:w="3264"/>
      </w:tblGrid>
      <w:tr>
        <w:tc>
          <w:tcPr>
            <w:tcW w:type="dxa" w:w="5184"/>
            <w:shd w:val="clear" w:fill="1E3C36"/>
          </w:tcPr>
          <w:p>
            <w:pPr>
              <w:spacing w:after="40"/>
            </w:pPr>
            <w:r>
              <w:rPr>
                <w:rFonts w:ascii="Century Gothic" w:hAnsi="Century Gothic"/>
                <w:b/>
                <w:color w:val="F0EADE"/>
                <w:sz w:val="16"/>
              </w:rPr>
              <w:t>IF THE PROPERTY SOLD AT…</w:t>
            </w:r>
          </w:p>
        </w:tc>
        <w:tc>
          <w:tcPr>
            <w:tcW w:type="dxa" w:w="2304"/>
            <w:shd w:val="clear" w:fill="1E3C36"/>
          </w:tcPr>
          <w:p>
            <w:pPr>
              <w:spacing w:after="40"/>
            </w:pPr>
            <w:r>
              <w:rPr>
                <w:rFonts w:ascii="Century Gothic" w:hAnsi="Century Gothic"/>
                <w:b/>
                <w:color w:val="F0EADE"/>
                <w:sz w:val="16"/>
              </w:rPr>
              <w:t>VS. ARV</w:t>
            </w:r>
          </w:p>
        </w:tc>
        <w:tc>
          <w:tcPr>
            <w:tcW w:type="dxa" w:w="2304"/>
            <w:shd w:val="clear" w:fill="1E3C36"/>
          </w:tcPr>
          <w:p>
            <w:pPr>
              <w:spacing w:after="40"/>
            </w:pPr>
            <w:r>
              <w:rPr>
                <w:rFonts w:ascii="Century Gothic" w:hAnsi="Century Gothic"/>
                <w:b/>
                <w:color w:val="F0EADE"/>
                <w:sz w:val="16"/>
              </w:rPr>
              <w:t>YOUR $140,800</w:t>
            </w:r>
          </w:p>
        </w:tc>
      </w:tr>
      <w:tr>
        <w:tc>
          <w:tcPr>
            <w:tcW w:type="dxa" w:w="5184"/>
          </w:tcPr>
          <w:p>
            <w:pPr>
              <w:spacing w:after="40"/>
            </w:pPr>
            <w:r>
              <w:rPr>
                <w:b w:val="0"/>
                <w:color w:val="2E3B38"/>
                <w:sz w:val="20"/>
              </w:rPr>
              <w:t>$320,000 (plan)</w:t>
            </w:r>
          </w:p>
        </w:tc>
        <w:tc>
          <w:tcPr>
            <w:tcW w:type="dxa" w:w="2304"/>
          </w:tcPr>
          <w:p>
            <w:pPr>
              <w:spacing w:after="40"/>
            </w:pPr>
            <w:r>
              <w:rPr>
                <w:b w:val="0"/>
                <w:color w:val="2E3B38"/>
                <w:sz w:val="20"/>
              </w:rPr>
              <w:t>ARV</w:t>
            </w:r>
          </w:p>
        </w:tc>
        <w:tc>
          <w:tcPr>
            <w:tcW w:type="dxa" w:w="2304"/>
          </w:tcPr>
          <w:p>
            <w:pPr>
              <w:spacing w:after="40"/>
            </w:pPr>
            <w:r>
              <w:rPr>
                <w:b w:val="0"/>
                <w:color w:val="2E3B38"/>
                <w:sz w:val="20"/>
              </w:rPr>
              <w:t>Fully repaid</w:t>
            </w:r>
          </w:p>
        </w:tc>
      </w:tr>
      <w:tr>
        <w:tc>
          <w:tcPr>
            <w:tcW w:type="dxa" w:w="5184"/>
          </w:tcPr>
          <w:p>
            <w:pPr>
              <w:spacing w:after="40"/>
            </w:pPr>
            <w:r>
              <w:rPr>
                <w:b w:val="0"/>
                <w:color w:val="2E3B38"/>
                <w:sz w:val="20"/>
              </w:rPr>
              <w:t>$256,000 (a 20% miss)</w:t>
            </w:r>
          </w:p>
        </w:tc>
        <w:tc>
          <w:tcPr>
            <w:tcW w:type="dxa" w:w="2304"/>
          </w:tcPr>
          <w:p>
            <w:pPr>
              <w:spacing w:after="40"/>
            </w:pPr>
            <w:r>
              <w:rPr>
                <w:b w:val="0"/>
                <w:color w:val="2E3B38"/>
                <w:sz w:val="20"/>
              </w:rPr>
              <w:t>–20%</w:t>
            </w:r>
          </w:p>
        </w:tc>
        <w:tc>
          <w:tcPr>
            <w:tcW w:type="dxa" w:w="2304"/>
          </w:tcPr>
          <w:p>
            <w:pPr>
              <w:spacing w:after="40"/>
            </w:pPr>
            <w:r>
              <w:rPr>
                <w:b w:val="0"/>
                <w:color w:val="2E3B38"/>
                <w:sz w:val="20"/>
              </w:rPr>
              <w:t>Fully repaid</w:t>
            </w:r>
          </w:p>
        </w:tc>
      </w:tr>
      <w:tr>
        <w:tc>
          <w:tcPr>
            <w:tcW w:type="dxa" w:w="5184"/>
          </w:tcPr>
          <w:p>
            <w:pPr>
              <w:spacing w:after="40"/>
            </w:pPr>
            <w:r>
              <w:rPr>
                <w:b w:val="0"/>
                <w:color w:val="2E3B38"/>
                <w:sz w:val="20"/>
              </w:rPr>
              <w:t>$200,000 (un-renovated purchase price)</w:t>
            </w:r>
          </w:p>
        </w:tc>
        <w:tc>
          <w:tcPr>
            <w:tcW w:type="dxa" w:w="2304"/>
          </w:tcPr>
          <w:p>
            <w:pPr>
              <w:spacing w:after="40"/>
            </w:pPr>
            <w:r>
              <w:rPr>
                <w:b w:val="0"/>
                <w:color w:val="2E3B38"/>
                <w:sz w:val="20"/>
              </w:rPr>
              <w:t>–37.5%</w:t>
            </w:r>
          </w:p>
        </w:tc>
        <w:tc>
          <w:tcPr>
            <w:tcW w:type="dxa" w:w="2304"/>
          </w:tcPr>
          <w:p>
            <w:pPr>
              <w:spacing w:after="40"/>
            </w:pPr>
            <w:r>
              <w:rPr>
                <w:b w:val="0"/>
                <w:color w:val="2E3B38"/>
                <w:sz w:val="20"/>
              </w:rPr>
              <w:t>Fully repaid</w:t>
            </w:r>
          </w:p>
        </w:tc>
      </w:tr>
      <w:tr>
        <w:tc>
          <w:tcPr>
            <w:tcW w:type="dxa" w:w="5184"/>
            <w:shd w:val="clear" w:fill="FAF6EC"/>
          </w:tcPr>
          <w:p>
            <w:pPr>
              <w:spacing w:after="40"/>
            </w:pPr>
            <w:r>
              <w:rPr>
                <w:b/>
                <w:color w:val="1E3C36"/>
                <w:sz w:val="20"/>
              </w:rPr>
              <w:t>$158,000 (approximate breakeven)</w:t>
            </w:r>
          </w:p>
        </w:tc>
        <w:tc>
          <w:tcPr>
            <w:tcW w:type="dxa" w:w="2304"/>
            <w:shd w:val="clear" w:fill="FAF6EC"/>
          </w:tcPr>
          <w:p>
            <w:pPr>
              <w:spacing w:after="40"/>
            </w:pPr>
            <w:r>
              <w:rPr>
                <w:b/>
                <w:color w:val="1E3C36"/>
                <w:sz w:val="20"/>
              </w:rPr>
              <w:t>–51%</w:t>
            </w:r>
          </w:p>
        </w:tc>
        <w:tc>
          <w:tcPr>
            <w:tcW w:type="dxa" w:w="2304"/>
            <w:shd w:val="clear" w:fill="FAF6EC"/>
          </w:tcPr>
          <w:p>
            <w:pPr>
              <w:spacing w:after="40"/>
            </w:pPr>
            <w:r>
              <w:rPr>
                <w:b/>
                <w:color w:val="1E3C36"/>
                <w:sz w:val="20"/>
              </w:rPr>
              <w:t>Fully repaid</w:t>
            </w:r>
          </w:p>
        </w:tc>
      </w:tr>
    </w:tbl>
    <w:p>
      <w:r>
        <w:t>The home would have to sell for roughly half its finished value before your position is impaired. The borrower's $20,000 and our own $115,200 absorb every dollar of loss first.</w:t>
      </w:r>
    </w:p>
    <w:p>
      <w:pPr>
        <w:spacing w:before="280" w:after="100"/>
        <w:pBdr>
          <w:bottom w:val="single" w:sz="4" w:space="3" w:color="DFD8C8"/>
        </w:pBdr>
      </w:pPr>
      <w:r>
        <w:rPr>
          <w:rFonts w:ascii="Century Gothic" w:hAnsi="Century Gothic"/>
          <w:b/>
          <w:color w:val="1E3C36"/>
          <w:sz w:val="18"/>
        </w:rPr>
        <w:t>IF THE DEAL GOES SIDEWAYS</w:t>
      </w:r>
    </w:p>
    <w:p>
      <w:pPr>
        <w:spacing w:after="100"/>
      </w:pPr>
      <w:r>
        <w:rPr>
          <w:b/>
          <w:color w:val="1E3C36"/>
          <w:sz w:val="21"/>
        </w:rPr>
        <w:t xml:space="preserve">Notice and cure.  </w:t>
      </w:r>
      <w:r>
        <w:rPr>
          <w:b w:val="0"/>
          <w:color w:val="2E3B38"/>
          <w:sz w:val="21"/>
        </w:rPr>
        <w:t>The borrower gets written notice and a 10-day period to cure the default.</w:t>
      </w:r>
    </w:p>
    <w:p>
      <w:pPr>
        <w:spacing w:after="100"/>
      </w:pPr>
      <w:r>
        <w:rPr>
          <w:b/>
          <w:color w:val="1E3C36"/>
          <w:sz w:val="21"/>
        </w:rPr>
        <w:t xml:space="preserve">Fast foreclosure.  </w:t>
      </w:r>
      <w:r>
        <w:rPr>
          <w:b w:val="0"/>
          <w:color w:val="2E3B38"/>
          <w:sz w:val="21"/>
        </w:rPr>
        <w:t>If uncured, we accelerate and foreclose. Texas non-judicial foreclosure is among the fastest in the nation — roughly 45–60 days.</w:t>
      </w:r>
    </w:p>
    <w:p>
      <w:pPr>
        <w:spacing w:after="100"/>
      </w:pPr>
      <w:r>
        <w:rPr>
          <w:b/>
          <w:color w:val="1E3C36"/>
          <w:sz w:val="21"/>
        </w:rPr>
        <w:t xml:space="preserve">You're paid in order.  </w:t>
      </w:r>
      <w:r>
        <w:rPr>
          <w:b w:val="0"/>
          <w:color w:val="2E3B38"/>
          <w:sz w:val="21"/>
        </w:rPr>
        <w:t>Sale proceeds follow the waterfall: foreclosure costs, then you by recorded collateral assignment, then Lazy Dog, then the borrower.</w:t>
      </w:r>
    </w:p>
    <w:p>
      <w:pPr>
        <w:spacing w:after="100"/>
      </w:pPr>
      <w:r>
        <w:rPr>
          <w:b/>
          <w:color w:val="1E3C36"/>
          <w:sz w:val="21"/>
        </w:rPr>
        <w:t xml:space="preserve">We finish it ourselves.  </w:t>
      </w:r>
      <w:r>
        <w:rPr>
          <w:b w:val="0"/>
          <w:color w:val="2E3B38"/>
          <w:sz w:val="21"/>
        </w:rPr>
        <w:t>Our own repair company completes the rehab; we then sell it or move it into our property management company. A default doesn't strand the project — it just changes who finishes it.</w:t>
      </w:r>
    </w:p>
    <w:p>
      <w:pPr>
        <w:spacing w:before="280" w:after="100"/>
        <w:pBdr>
          <w:bottom w:val="single" w:sz="4" w:space="3" w:color="DFD8C8"/>
        </w:pBdr>
      </w:pPr>
      <w:r>
        <w:rPr>
          <w:rFonts w:ascii="Century Gothic" w:hAnsi="Century Gothic"/>
          <w:b/>
          <w:color w:val="1E3C36"/>
          <w:sz w:val="18"/>
        </w:rPr>
        <w:t>WHO WE ARE</w:t>
      </w:r>
    </w:p>
    <w:p>
      <w:pPr>
        <w:spacing w:after="40"/>
      </w:pPr>
      <w:r>
        <w:rPr>
          <w:b/>
          <w:color w:val="1E3C36"/>
          <w:sz w:val="21"/>
        </w:rPr>
        <w:t xml:space="preserve">Lewis McKnight  </w:t>
      </w:r>
      <w:r>
        <w:rPr>
          <w:b/>
          <w:color w:val="C89430"/>
          <w:sz w:val="21"/>
        </w:rPr>
        <w:t>23 years in real estate</w:t>
      </w:r>
    </w:p>
    <w:p>
      <w:r>
        <w:t>800+ transactions — private loans, flips, single-family construction, rehabs, and remodels. Owns a repair company and a property management company, with in-house crews to finish any stalled project.</w:t>
      </w:r>
    </w:p>
    <w:p>
      <w:pPr>
        <w:spacing w:after="40"/>
      </w:pPr>
      <w:r>
        <w:rPr>
          <w:b/>
          <w:color w:val="1E3C36"/>
          <w:sz w:val="21"/>
        </w:rPr>
        <w:t xml:space="preserve">Stephen Maner  </w:t>
      </w:r>
      <w:r>
        <w:rPr>
          <w:b/>
          <w:color w:val="C89430"/>
          <w:sz w:val="21"/>
        </w:rPr>
        <w:t>13+ years as a real estate investor</w:t>
      </w:r>
    </w:p>
    <w:p>
      <w:r>
        <w:t>U.S. Marine Corps veteran; corporate professional turned entrepreneur. Owns investment property and co-owns the repair and property management companies with Lewis.</w:t>
      </w:r>
    </w:p>
    <w:p>
      <w:pPr>
        <w:spacing w:after="140"/>
      </w:pPr>
      <w:r>
        <w:rPr>
          <w:b/>
          <w:color w:val="1E3C36"/>
          <w:sz w:val="21"/>
        </w:rPr>
        <w:t xml:space="preserve">We put our own money into every deal — in the position behind yours. </w:t>
      </w:r>
      <w:r>
        <w:rPr>
          <w:b w:val="0"/>
          <w:color w:val="2E3B38"/>
          <w:sz w:val="21"/>
        </w:rPr>
        <w:t>To date, Lazy Dog has never had a borrower default (past performance does not guarantee future results).</w:t>
      </w:r>
    </w:p>
    <w:p>
      <w:pPr>
        <w:spacing w:before="280" w:after="100"/>
        <w:pBdr>
          <w:bottom w:val="single" w:sz="4" w:space="3" w:color="DFD8C8"/>
        </w:pBdr>
      </w:pPr>
      <w:r>
        <w:rPr>
          <w:rFonts w:ascii="Century Gothic" w:hAnsi="Century Gothic"/>
          <w:b/>
          <w:color w:val="1E3C36"/>
          <w:sz w:val="18"/>
        </w:rPr>
        <w:t>NEXT STEPS</w:t>
      </w:r>
    </w:p>
    <w:p>
      <w:pPr>
        <w:spacing w:after="100"/>
      </w:pPr>
      <w:r>
        <w:rPr>
          <w:b/>
          <w:color w:val="C89430"/>
          <w:sz w:val="21"/>
        </w:rPr>
        <w:t xml:space="preserve">1.  </w:t>
      </w:r>
      <w:r>
        <w:rPr>
          <w:b w:val="0"/>
          <w:color w:val="2E3B38"/>
          <w:sz w:val="21"/>
        </w:rPr>
        <w:t>Review the Capital Partner Agreement and sample loan documents.</w:t>
      </w:r>
    </w:p>
    <w:p>
      <w:pPr>
        <w:spacing w:after="100"/>
      </w:pPr>
      <w:r>
        <w:rPr>
          <w:b/>
          <w:color w:val="C89430"/>
          <w:sz w:val="21"/>
        </w:rPr>
        <w:t xml:space="preserve">2.  </w:t>
      </w:r>
      <w:r>
        <w:rPr>
          <w:b w:val="0"/>
          <w:color w:val="2E3B38"/>
          <w:sz w:val="21"/>
        </w:rPr>
        <w:t>Choose your share of the loan — your rate follows the tier.</w:t>
      </w:r>
    </w:p>
    <w:p>
      <w:pPr>
        <w:spacing w:after="100"/>
      </w:pPr>
      <w:r>
        <w:rPr>
          <w:b/>
          <w:color w:val="C89430"/>
          <w:sz w:val="21"/>
        </w:rPr>
        <w:t xml:space="preserve">3.  </w:t>
      </w:r>
      <w:r>
        <w:rPr>
          <w:b w:val="0"/>
          <w:color w:val="2E3B38"/>
          <w:sz w:val="21"/>
        </w:rPr>
        <w:t>Fund your contribution; your first-priority collateral assignment is recorded.</w:t>
      </w:r>
    </w:p>
    <w:p>
      <w:pPr>
        <w:spacing w:after="100"/>
      </w:pPr>
      <w:r>
        <w:rPr>
          <w:b/>
          <w:color w:val="C89430"/>
          <w:sz w:val="21"/>
        </w:rPr>
        <w:t xml:space="preserve">4.  </w:t>
      </w:r>
      <w:r>
        <w:rPr>
          <w:b w:val="0"/>
          <w:color w:val="2E3B38"/>
          <w:sz w:val="21"/>
        </w:rPr>
        <w:t>Receive monthly payments and statements; principal back at payoff — then do it again.</w:t>
      </w:r>
    </w:p>
    <w:p>
      <w:pPr>
        <w:spacing w:before="280" w:after="100"/>
        <w:pBdr>
          <w:bottom w:val="single" w:sz="4" w:space="3" w:color="DFD8C8"/>
        </w:pBdr>
      </w:pPr>
      <w:r>
        <w:rPr>
          <w:rFonts w:ascii="Century Gothic" w:hAnsi="Century Gothic"/>
          <w:b/>
          <w:color w:val="1E3C36"/>
          <w:sz w:val="18"/>
        </w:rPr>
        <w:t>IMPORTANT DISCLOSURES</w:t>
      </w:r>
    </w:p>
    <w:p>
      <w:r>
        <w:rPr>
          <w:color w:val="6B7A75"/>
          <w:sz w:val="15"/>
        </w:rPr>
        <w:t>This document is an illustrative example based on representative deal terms and is provided for discussion purposes only. It is not an offer to sell or a solicitation of an offer to buy any security. Capital partner returns are secured by a recorded first-priority collateral assignment of a first-lien note and deed of trust on a specific Texas property; they are secured, not guaranteed. Real estate values can decline, borrowers can default, and foreclosure recoveries can be less than anticipated. Past performance does not guarantee future results. Figures are shown before taxes; interest income is generally taxed as ordinary income. Prospective capital partners should review all loan documents and consult their own legal, tax, and financial advisors before investing.</w:t>
      </w:r>
    </w:p>
    <w:sectPr w:rsidR="00FC693F" w:rsidRPr="0006063C" w:rsidSect="00034616">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