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2103120" cy="680829"/>
            <wp:docPr id="1" name="Picture 1"/>
            <wp:cNvGraphicFramePr>
              <a:graphicFrameLocks noChangeAspect="1"/>
            </wp:cNvGraphicFramePr>
            <a:graphic>
              <a:graphicData uri="http://schemas.openxmlformats.org/drawingml/2006/picture">
                <pic:pic>
                  <pic:nvPicPr>
                    <pic:cNvPr id="0" name="horizontal_t.png"/>
                    <pic:cNvPicPr/>
                  </pic:nvPicPr>
                  <pic:blipFill>
                    <a:blip r:embed="rId9"/>
                    <a:stretch>
                      <a:fillRect/>
                    </a:stretch>
                  </pic:blipFill>
                  <pic:spPr>
                    <a:xfrm>
                      <a:off x="0" y="0"/>
                      <a:ext cx="2103120" cy="680829"/>
                    </a:xfrm>
                    <a:prstGeom prst="rect"/>
                  </pic:spPr>
                </pic:pic>
              </a:graphicData>
            </a:graphic>
          </wp:inline>
        </w:drawing>
      </w:r>
    </w:p>
    <w:p>
      <w:pPr>
        <w:spacing w:after="200"/>
        <w:pBdr>
          <w:bottom w:val="single" w:sz="10" w:space="1" w:color="C89430"/>
        </w:pBdr>
      </w:pPr>
    </w:p>
    <w:p>
      <w:pPr>
        <w:spacing w:after="40"/>
      </w:pPr>
      <w:r>
        <w:rPr>
          <w:rFonts w:ascii="Century Gothic" w:hAnsi="Century Gothic"/>
          <w:b/>
          <w:color w:val="1E3C36"/>
          <w:sz w:val="48"/>
        </w:rPr>
        <w:t>Sample Deal Case Study</w:t>
      </w:r>
    </w:p>
    <w:p>
      <w:pPr>
        <w:spacing w:after="280"/>
      </w:pPr>
      <w:r>
        <w:rPr>
          <w:i/>
          <w:color w:val="6B7A75"/>
          <w:sz w:val="21"/>
        </w:rPr>
        <w:t>A representative capital partner deal, start to finish.</w:t>
      </w:r>
    </w:p>
    <w:p>
      <w:pPr>
        <w:spacing w:before="280" w:after="100"/>
        <w:pBdr>
          <w:bottom w:val="single" w:sz="4" w:space="3" w:color="DFD8C8"/>
        </w:pBdr>
      </w:pPr>
      <w:r>
        <w:rPr>
          <w:rFonts w:ascii="Century Gothic" w:hAnsi="Century Gothic"/>
          <w:b/>
          <w:color w:val="1E3C36"/>
          <w:sz w:val="18"/>
        </w:rPr>
        <w:t>THE PROPERTY</w:t>
      </w:r>
    </w:p>
    <w:tbl>
      <w:tblPr>
        <w:tblW w:type="auto" w:w="0"/>
        <w:jc w:val="left"/>
        <w:tblLook w:firstColumn="1" w:firstRow="1" w:lastColumn="0" w:lastRow="0" w:noHBand="0" w:noVBand="1" w:val="04A0"/>
      </w:tblPr>
      <w:tblGrid>
        <w:gridCol w:w="4896"/>
        <w:gridCol w:w="4896"/>
      </w:tblGrid>
      <w:tr>
        <w:tc>
          <w:tcPr>
            <w:tcW w:type="dxa" w:w="4896"/>
            <w:shd w:val="clear" w:fill="F7F6F3"/>
          </w:tcPr>
          <w:p>
            <w:pPr>
              <w:spacing w:after="40"/>
            </w:pPr>
            <w:r>
              <w:rPr>
                <w:b w:val="0"/>
                <w:color w:val="2E3B38"/>
                <w:sz w:val="20"/>
              </w:rPr>
              <w:t>Property</w:t>
            </w:r>
          </w:p>
        </w:tc>
        <w:tc>
          <w:tcPr>
            <w:tcW w:type="dxa" w:w="4896"/>
            <w:shd w:val="clear" w:fill="F7F6F3"/>
          </w:tcPr>
          <w:p>
            <w:pPr>
              <w:spacing w:after="40"/>
            </w:pPr>
            <w:r>
              <w:rPr>
                <w:b w:val="0"/>
                <w:color w:val="2E3B38"/>
                <w:sz w:val="20"/>
              </w:rPr>
              <w:t>3 Bed / 2 Bath  ·  1,450 sq ft  ·  Fix &amp; Flip</w:t>
            </w:r>
          </w:p>
        </w:tc>
      </w:tr>
      <w:tr>
        <w:tc>
          <w:tcPr>
            <w:tcW w:type="dxa" w:w="4896"/>
            <w:shd w:val="clear" w:fill="FFFFFF"/>
          </w:tcPr>
          <w:p>
            <w:pPr>
              <w:spacing w:after="40"/>
            </w:pPr>
            <w:r>
              <w:rPr>
                <w:b w:val="0"/>
                <w:color w:val="2E3B38"/>
                <w:sz w:val="20"/>
              </w:rPr>
              <w:t>Appraised value (ARV)</w:t>
            </w:r>
          </w:p>
        </w:tc>
        <w:tc>
          <w:tcPr>
            <w:tcW w:type="dxa" w:w="4896"/>
            <w:shd w:val="clear" w:fill="FFFFFF"/>
          </w:tcPr>
          <w:p>
            <w:pPr>
              <w:spacing w:after="40"/>
            </w:pPr>
            <w:r>
              <w:rPr>
                <w:b w:val="0"/>
                <w:color w:val="2E3B38"/>
                <w:sz w:val="20"/>
              </w:rPr>
              <w:t>$320,000</w:t>
            </w:r>
          </w:p>
        </w:tc>
      </w:tr>
      <w:tr>
        <w:tc>
          <w:tcPr>
            <w:tcW w:type="dxa" w:w="4896"/>
            <w:shd w:val="clear" w:fill="F7F6F3"/>
          </w:tcPr>
          <w:p>
            <w:pPr>
              <w:spacing w:after="40"/>
            </w:pPr>
            <w:r>
              <w:rPr>
                <w:b w:val="0"/>
                <w:color w:val="2E3B38"/>
                <w:sz w:val="20"/>
              </w:rPr>
              <w:t>Purchase price</w:t>
            </w:r>
          </w:p>
        </w:tc>
        <w:tc>
          <w:tcPr>
            <w:tcW w:type="dxa" w:w="4896"/>
            <w:shd w:val="clear" w:fill="F7F6F3"/>
          </w:tcPr>
          <w:p>
            <w:pPr>
              <w:spacing w:after="40"/>
            </w:pPr>
            <w:r>
              <w:rPr>
                <w:b w:val="0"/>
                <w:color w:val="2E3B38"/>
                <w:sz w:val="20"/>
              </w:rPr>
              <w:t>$200,000</w:t>
            </w:r>
          </w:p>
        </w:tc>
      </w:tr>
      <w:tr>
        <w:tc>
          <w:tcPr>
            <w:tcW w:type="dxa" w:w="4896"/>
            <w:shd w:val="clear" w:fill="FFFFFF"/>
          </w:tcPr>
          <w:p>
            <w:pPr>
              <w:spacing w:after="40"/>
            </w:pPr>
            <w:r>
              <w:rPr>
                <w:b w:val="0"/>
                <w:color w:val="2E3B38"/>
                <w:sz w:val="20"/>
              </w:rPr>
              <w:t>Rehab estimate</w:t>
            </w:r>
          </w:p>
        </w:tc>
        <w:tc>
          <w:tcPr>
            <w:tcW w:type="dxa" w:w="4896"/>
            <w:shd w:val="clear" w:fill="FFFFFF"/>
          </w:tcPr>
          <w:p>
            <w:pPr>
              <w:spacing w:after="40"/>
            </w:pPr>
            <w:r>
              <w:rPr>
                <w:b w:val="0"/>
                <w:color w:val="2E3B38"/>
                <w:sz w:val="20"/>
              </w:rPr>
              <w:t>$50,000</w:t>
            </w:r>
          </w:p>
        </w:tc>
      </w:tr>
      <w:tr>
        <w:tc>
          <w:tcPr>
            <w:tcW w:type="dxa" w:w="4896"/>
            <w:shd w:val="clear" w:fill="F7F6F3"/>
          </w:tcPr>
          <w:p>
            <w:pPr>
              <w:spacing w:after="40"/>
            </w:pPr>
            <w:r>
              <w:rPr>
                <w:b w:val="0"/>
                <w:color w:val="2E3B38"/>
                <w:sz w:val="20"/>
              </w:rPr>
              <w:t>Estimated purchase to finish</w:t>
            </w:r>
          </w:p>
        </w:tc>
        <w:tc>
          <w:tcPr>
            <w:tcW w:type="dxa" w:w="4896"/>
            <w:shd w:val="clear" w:fill="F7F6F3"/>
          </w:tcPr>
          <w:p>
            <w:pPr>
              <w:spacing w:after="40"/>
            </w:pPr>
            <w:r>
              <w:rPr>
                <w:b w:val="0"/>
                <w:color w:val="2E3B38"/>
                <w:sz w:val="20"/>
              </w:rPr>
              <w:t>7 – 9 months</w:t>
            </w:r>
          </w:p>
        </w:tc>
      </w:tr>
    </w:tbl>
    <w:p>
      <w:pPr>
        <w:spacing w:before="280" w:after="100"/>
        <w:pBdr>
          <w:bottom w:val="single" w:sz="4" w:space="3" w:color="DFD8C8"/>
        </w:pBdr>
      </w:pPr>
      <w:r>
        <w:rPr>
          <w:rFonts w:ascii="Century Gothic" w:hAnsi="Century Gothic"/>
          <w:b/>
          <w:color w:val="1E3C36"/>
          <w:sz w:val="18"/>
        </w:rPr>
        <w:t>HOW THE LOAN AMOUNT IS SET</w:t>
      </w:r>
    </w:p>
    <w:p>
      <w:r>
        <w:t>Every loan is 80% of the after-repair value — the appraised value of the finished home. One number, no second formula. Sizing the loan against what the property will be worth finished, rather than what the borrower paid for it, builds a 20% equity cushion into the project before anyone's money is at risk.</w:t>
      </w:r>
    </w:p>
    <w:p>
      <w:pPr>
        <w:spacing w:after="140"/>
      </w:pPr>
      <w:r>
        <w:rPr>
          <w:b/>
          <w:color w:val="1E3C36"/>
          <w:sz w:val="24"/>
        </w:rPr>
        <w:t>0.80  ×  $320,000  =  $256,000</w:t>
      </w:r>
      <w:r>
        <w:rPr>
          <w:b w:val="0"/>
          <w:color w:val="6B7A75"/>
          <w:sz w:val="24"/>
        </w:rPr>
        <w:t xml:space="preserve">      the loan amount for this deal</w:t>
      </w:r>
    </w:p>
    <w:p>
      <w:pPr>
        <w:spacing w:before="280" w:after="100"/>
        <w:pBdr>
          <w:bottom w:val="single" w:sz="4" w:space="3" w:color="DFD8C8"/>
        </w:pBdr>
      </w:pPr>
      <w:r>
        <w:rPr>
          <w:rFonts w:ascii="Century Gothic" w:hAnsi="Century Gothic"/>
          <w:b/>
          <w:color w:val="1E3C36"/>
          <w:sz w:val="18"/>
        </w:rPr>
        <w:t>SOURCES</w:t>
      </w:r>
    </w:p>
    <w:tbl>
      <w:tblPr>
        <w:tblW w:type="auto" w:w="0"/>
        <w:jc w:val="left"/>
        <w:tblLook w:firstColumn="1" w:firstRow="1" w:lastColumn="0" w:lastRow="0" w:noHBand="0" w:noVBand="1" w:val="04A0"/>
      </w:tblPr>
      <w:tblGrid>
        <w:gridCol w:w="2448"/>
        <w:gridCol w:w="2448"/>
        <w:gridCol w:w="2448"/>
        <w:gridCol w:w="2448"/>
      </w:tblGrid>
      <w:tr>
        <w:tc>
          <w:tcPr>
            <w:tcW w:type="dxa" w:w="4176"/>
            <w:shd w:val="clear" w:fill="1E3C36"/>
          </w:tcPr>
          <w:p>
            <w:pPr>
              <w:spacing w:after="40"/>
            </w:pPr>
            <w:r>
              <w:rPr>
                <w:rFonts w:ascii="Century Gothic" w:hAnsi="Century Gothic"/>
                <w:b/>
                <w:color w:val="F0EADE"/>
                <w:sz w:val="16"/>
              </w:rPr>
              <w:t>SOURCE</w:t>
            </w:r>
          </w:p>
        </w:tc>
        <w:tc>
          <w:tcPr>
            <w:tcW w:type="dxa" w:w="1872"/>
            <w:shd w:val="clear" w:fill="1E3C36"/>
          </w:tcPr>
          <w:p>
            <w:pPr>
              <w:spacing w:after="40"/>
            </w:pPr>
            <w:r>
              <w:rPr>
                <w:rFonts w:ascii="Century Gothic" w:hAnsi="Century Gothic"/>
                <w:b/>
                <w:color w:val="F0EADE"/>
                <w:sz w:val="16"/>
              </w:rPr>
              <w:t>AT CLOSING</w:t>
            </w:r>
          </w:p>
        </w:tc>
        <w:tc>
          <w:tcPr>
            <w:tcW w:type="dxa" w:w="1872"/>
            <w:shd w:val="clear" w:fill="1E3C36"/>
          </w:tcPr>
          <w:p>
            <w:pPr>
              <w:spacing w:after="40"/>
            </w:pPr>
            <w:r>
              <w:rPr>
                <w:rFonts w:ascii="Century Gothic" w:hAnsi="Century Gothic"/>
                <w:b/>
                <w:color w:val="F0EADE"/>
                <w:sz w:val="16"/>
              </w:rPr>
              <w:t>HOLDBACK</w:t>
            </w:r>
          </w:p>
        </w:tc>
        <w:tc>
          <w:tcPr>
            <w:tcW w:type="dxa" w:w="1872"/>
            <w:shd w:val="clear" w:fill="1E3C36"/>
          </w:tcPr>
          <w:p>
            <w:pPr>
              <w:spacing w:after="40"/>
            </w:pPr>
            <w:r>
              <w:rPr>
                <w:rFonts w:ascii="Century Gothic" w:hAnsi="Century Gothic"/>
                <w:b/>
                <w:color w:val="F0EADE"/>
                <w:sz w:val="16"/>
              </w:rPr>
              <w:t>TOTAL</w:t>
            </w:r>
          </w:p>
        </w:tc>
      </w:tr>
      <w:tr>
        <w:tc>
          <w:tcPr>
            <w:tcW w:type="dxa" w:w="4176"/>
          </w:tcPr>
          <w:p>
            <w:pPr>
              <w:spacing w:after="40"/>
            </w:pPr>
            <w:r>
              <w:rPr>
                <w:b w:val="0"/>
                <w:color w:val="2E3B38"/>
                <w:sz w:val="20"/>
              </w:rPr>
              <w:t>Capital Partner</w:t>
            </w:r>
          </w:p>
        </w:tc>
        <w:tc>
          <w:tcPr>
            <w:tcW w:type="dxa" w:w="1872"/>
          </w:tcPr>
          <w:p>
            <w:pPr>
              <w:spacing w:after="40"/>
            </w:pPr>
            <w:r>
              <w:rPr>
                <w:b w:val="0"/>
                <w:color w:val="2E3B38"/>
                <w:sz w:val="20"/>
              </w:rPr>
              <w:t>$140,800</w:t>
            </w:r>
          </w:p>
        </w:tc>
        <w:tc>
          <w:tcPr>
            <w:tcW w:type="dxa" w:w="1872"/>
          </w:tcPr>
          <w:p>
            <w:pPr>
              <w:spacing w:after="40"/>
            </w:pPr>
            <w:r>
              <w:rPr>
                <w:b w:val="0"/>
                <w:color w:val="2E3B38"/>
                <w:sz w:val="20"/>
              </w:rPr>
              <w:t>—</w:t>
            </w:r>
          </w:p>
        </w:tc>
        <w:tc>
          <w:tcPr>
            <w:tcW w:type="dxa" w:w="1872"/>
          </w:tcPr>
          <w:p>
            <w:pPr>
              <w:spacing w:after="40"/>
            </w:pPr>
            <w:r>
              <w:rPr>
                <w:b w:val="0"/>
                <w:color w:val="2E3B38"/>
                <w:sz w:val="20"/>
              </w:rPr>
              <w:t>$140,800</w:t>
            </w:r>
          </w:p>
        </w:tc>
      </w:tr>
      <w:tr>
        <w:tc>
          <w:tcPr>
            <w:tcW w:type="dxa" w:w="4176"/>
          </w:tcPr>
          <w:p>
            <w:pPr>
              <w:spacing w:after="40"/>
            </w:pPr>
            <w:r>
              <w:rPr>
                <w:b w:val="0"/>
                <w:color w:val="2E3B38"/>
                <w:sz w:val="20"/>
              </w:rPr>
              <w:t>Lazy Dog Capital</w:t>
            </w:r>
          </w:p>
        </w:tc>
        <w:tc>
          <w:tcPr>
            <w:tcW w:type="dxa" w:w="1872"/>
          </w:tcPr>
          <w:p>
            <w:pPr>
              <w:spacing w:after="40"/>
            </w:pPr>
            <w:r>
              <w:rPr>
                <w:b w:val="0"/>
                <w:color w:val="2E3B38"/>
                <w:sz w:val="20"/>
              </w:rPr>
              <w:t>$39,200</w:t>
            </w:r>
          </w:p>
        </w:tc>
        <w:tc>
          <w:tcPr>
            <w:tcW w:type="dxa" w:w="1872"/>
          </w:tcPr>
          <w:p>
            <w:pPr>
              <w:spacing w:after="40"/>
            </w:pPr>
            <w:r>
              <w:rPr>
                <w:b w:val="0"/>
                <w:color w:val="2E3B38"/>
                <w:sz w:val="20"/>
              </w:rPr>
              <w:t>$76,000</w:t>
            </w:r>
          </w:p>
        </w:tc>
        <w:tc>
          <w:tcPr>
            <w:tcW w:type="dxa" w:w="1872"/>
          </w:tcPr>
          <w:p>
            <w:pPr>
              <w:spacing w:after="40"/>
            </w:pPr>
            <w:r>
              <w:rPr>
                <w:b w:val="0"/>
                <w:color w:val="2E3B38"/>
                <w:sz w:val="20"/>
              </w:rPr>
              <w:t>$115,200</w:t>
            </w:r>
          </w:p>
        </w:tc>
      </w:tr>
      <w:tr>
        <w:tc>
          <w:tcPr>
            <w:tcW w:type="dxa" w:w="4176"/>
          </w:tcPr>
          <w:p>
            <w:pPr>
              <w:spacing w:after="40"/>
            </w:pPr>
            <w:r>
              <w:rPr>
                <w:b w:val="0"/>
                <w:color w:val="2E3B38"/>
                <w:sz w:val="20"/>
              </w:rPr>
              <w:t>Amount lent (recorded first lien)</w:t>
            </w:r>
          </w:p>
        </w:tc>
        <w:tc>
          <w:tcPr>
            <w:tcW w:type="dxa" w:w="1872"/>
          </w:tcPr>
          <w:p>
            <w:pPr>
              <w:spacing w:after="40"/>
            </w:pPr>
            <w:r>
              <w:rPr>
                <w:b w:val="0"/>
                <w:color w:val="2E3B38"/>
                <w:sz w:val="20"/>
              </w:rPr>
              <w:t>$180,000</w:t>
            </w:r>
          </w:p>
        </w:tc>
        <w:tc>
          <w:tcPr>
            <w:tcW w:type="dxa" w:w="1872"/>
          </w:tcPr>
          <w:p>
            <w:pPr>
              <w:spacing w:after="40"/>
            </w:pPr>
            <w:r>
              <w:rPr>
                <w:b w:val="0"/>
                <w:color w:val="2E3B38"/>
                <w:sz w:val="20"/>
              </w:rPr>
              <w:t>$76,000</w:t>
            </w:r>
          </w:p>
        </w:tc>
        <w:tc>
          <w:tcPr>
            <w:tcW w:type="dxa" w:w="1872"/>
          </w:tcPr>
          <w:p>
            <w:pPr>
              <w:spacing w:after="40"/>
            </w:pPr>
            <w:r>
              <w:rPr>
                <w:b w:val="0"/>
                <w:color w:val="2E3B38"/>
                <w:sz w:val="20"/>
              </w:rPr>
              <w:t>$256,000</w:t>
            </w:r>
          </w:p>
        </w:tc>
      </w:tr>
      <w:tr>
        <w:tc>
          <w:tcPr>
            <w:tcW w:type="dxa" w:w="4176"/>
          </w:tcPr>
          <w:p>
            <w:pPr>
              <w:spacing w:after="40"/>
            </w:pPr>
            <w:r>
              <w:rPr>
                <w:b w:val="0"/>
                <w:color w:val="2E3B38"/>
                <w:sz w:val="20"/>
              </w:rPr>
              <w:t>Borrower down payment (equity)</w:t>
            </w:r>
          </w:p>
        </w:tc>
        <w:tc>
          <w:tcPr>
            <w:tcW w:type="dxa" w:w="1872"/>
          </w:tcPr>
          <w:p>
            <w:pPr>
              <w:spacing w:after="40"/>
            </w:pPr>
            <w:r>
              <w:rPr>
                <w:b w:val="0"/>
                <w:color w:val="2E3B38"/>
                <w:sz w:val="20"/>
              </w:rPr>
              <w:t>$20,000</w:t>
            </w:r>
          </w:p>
        </w:tc>
        <w:tc>
          <w:tcPr>
            <w:tcW w:type="dxa" w:w="1872"/>
          </w:tcPr>
          <w:p>
            <w:pPr>
              <w:spacing w:after="40"/>
            </w:pPr>
            <w:r>
              <w:rPr>
                <w:b w:val="0"/>
                <w:color w:val="2E3B38"/>
                <w:sz w:val="20"/>
              </w:rPr>
              <w:t>—</w:t>
            </w:r>
          </w:p>
        </w:tc>
        <w:tc>
          <w:tcPr>
            <w:tcW w:type="dxa" w:w="1872"/>
          </w:tcPr>
          <w:p>
            <w:pPr>
              <w:spacing w:after="40"/>
            </w:pPr>
            <w:r>
              <w:rPr>
                <w:b w:val="0"/>
                <w:color w:val="2E3B38"/>
                <w:sz w:val="20"/>
              </w:rPr>
              <w:t>$20,000</w:t>
            </w:r>
          </w:p>
        </w:tc>
      </w:tr>
      <w:tr>
        <w:tc>
          <w:tcPr>
            <w:tcW w:type="dxa" w:w="4176"/>
            <w:shd w:val="clear" w:fill="FAF6EC"/>
          </w:tcPr>
          <w:p>
            <w:pPr>
              <w:spacing w:after="40"/>
            </w:pPr>
            <w:r>
              <w:rPr>
                <w:b/>
                <w:color w:val="1E3C36"/>
                <w:sz w:val="20"/>
              </w:rPr>
              <w:t>Total capital in the deal</w:t>
            </w:r>
          </w:p>
        </w:tc>
        <w:tc>
          <w:tcPr>
            <w:tcW w:type="dxa" w:w="1872"/>
            <w:shd w:val="clear" w:fill="FAF6EC"/>
          </w:tcPr>
          <w:p>
            <w:pPr>
              <w:spacing w:after="40"/>
            </w:pPr>
            <w:r>
              <w:rPr>
                <w:b/>
                <w:color w:val="1E3C36"/>
                <w:sz w:val="20"/>
              </w:rPr>
              <w:t>$200,000</w:t>
            </w:r>
          </w:p>
        </w:tc>
        <w:tc>
          <w:tcPr>
            <w:tcW w:type="dxa" w:w="1872"/>
            <w:shd w:val="clear" w:fill="FAF6EC"/>
          </w:tcPr>
          <w:p>
            <w:pPr>
              <w:spacing w:after="40"/>
            </w:pPr>
            <w:r>
              <w:rPr>
                <w:b/>
                <w:color w:val="1E3C36"/>
                <w:sz w:val="20"/>
              </w:rPr>
              <w:t>$76,000</w:t>
            </w:r>
          </w:p>
        </w:tc>
        <w:tc>
          <w:tcPr>
            <w:tcW w:type="dxa" w:w="1872"/>
            <w:shd w:val="clear" w:fill="FAF6EC"/>
          </w:tcPr>
          <w:p>
            <w:pPr>
              <w:spacing w:after="40"/>
            </w:pPr>
            <w:r>
              <w:rPr>
                <w:b/>
                <w:color w:val="1E3C36"/>
                <w:sz w:val="20"/>
              </w:rPr>
              <w:t>$276,000</w:t>
            </w:r>
          </w:p>
        </w:tc>
      </w:tr>
    </w:tbl>
    <w:p>
      <w:pPr>
        <w:spacing w:before="280" w:after="100"/>
        <w:pBdr>
          <w:bottom w:val="single" w:sz="4" w:space="3" w:color="DFD8C8"/>
        </w:pBdr>
      </w:pPr>
      <w:r>
        <w:rPr>
          <w:rFonts w:ascii="Century Gothic" w:hAnsi="Century Gothic"/>
          <w:b/>
          <w:color w:val="1E3C36"/>
          <w:sz w:val="18"/>
        </w:rPr>
        <w:t>WHAT IS THE HOLDBACK?</w:t>
      </w:r>
    </w:p>
    <w:p>
      <w:r>
        <w:t>The $76,000 not disbursed at closing. It funds the renovation on a reimbursement basis — the borrower pays for completed work out of pocket, shows us a bank statement proving the money left their account, and one of us inspects the work in person before a dollar is released. There is no fixed number of draws. Money enters the property only after value has been added.</w:t>
      </w:r>
    </w:p>
    <w:p>
      <w:pPr>
        <w:spacing w:before="280" w:after="100"/>
        <w:pBdr>
          <w:bottom w:val="single" w:sz="4" w:space="3" w:color="DFD8C8"/>
        </w:pBdr>
      </w:pPr>
      <w:r>
        <w:rPr>
          <w:rFonts w:ascii="Century Gothic" w:hAnsi="Century Gothic"/>
          <w:b/>
          <w:color w:val="1E3C36"/>
          <w:sz w:val="18"/>
        </w:rPr>
        <w:t>YOUR POSITION — A FIRST-PRIORITY SECURED CLAIM</w:t>
      </w:r>
    </w:p>
    <w:p>
      <w:r>
        <w:t>Your capital is placed through Lazy Dog Capital, and your security is a recorded Collateral Assignment of Note and Deed of Trust.</w:t>
      </w:r>
    </w:p>
    <w:p>
      <w:pPr>
        <w:spacing w:after="100"/>
      </w:pPr>
      <w:r>
        <w:rPr>
          <w:b/>
          <w:color w:val="1E3C36"/>
          <w:sz w:val="21"/>
        </w:rPr>
        <w:t>One first-lien loan.</w:t>
      </w:r>
      <w:r>
        <w:rPr>
          <w:b w:val="0"/>
          <w:color w:val="2E3B38"/>
          <w:sz w:val="21"/>
        </w:rPr>
        <w:t xml:space="preserve"> Lazy Dog lends the borrower $256,000, secured by a first-lien deed of trust recorded against the property. The borrower makes one monthly payment to Lazy Dog.</w:t>
      </w:r>
    </w:p>
    <w:p>
      <w:pPr>
        <w:spacing w:after="100"/>
      </w:pPr>
      <w:r>
        <w:rPr>
          <w:b/>
          <w:color w:val="1E3C36"/>
          <w:sz w:val="21"/>
        </w:rPr>
        <w:t>You are paid first.</w:t>
      </w:r>
      <w:r>
        <w:rPr>
          <w:b w:val="0"/>
          <w:color w:val="2E3B38"/>
          <w:sz w:val="21"/>
        </w:rPr>
        <w:t xml:space="preserve"> By a Collateral Assignment recorded in the county real-property records, Lazy Dog assigns you a first-priority claim on that note and lien.</w:t>
      </w:r>
    </w:p>
    <w:p>
      <w:pPr>
        <w:spacing w:after="100"/>
      </w:pPr>
      <w:r>
        <w:rPr>
          <w:b/>
          <w:color w:val="1E3C36"/>
          <w:sz w:val="21"/>
        </w:rPr>
        <w:t>Of public record from day one.</w:t>
      </w:r>
      <w:r>
        <w:rPr>
          <w:b w:val="0"/>
          <w:color w:val="2E3B38"/>
          <w:sz w:val="21"/>
        </w:rPr>
        <w:t xml:space="preserve"> Your priority records the same day the loan closes. If Lazy Dog ever failed to remit your share, the assignment lets you collect from the borrower directly and direct foreclosure.</w:t>
      </w:r>
    </w:p>
    <w:p>
      <w:pPr>
        <w:spacing w:before="280" w:after="100"/>
        <w:pBdr>
          <w:bottom w:val="single" w:sz="4" w:space="3" w:color="DFD8C8"/>
        </w:pBdr>
      </w:pPr>
      <w:r>
        <w:rPr>
          <w:rFonts w:ascii="Century Gothic" w:hAnsi="Century Gothic"/>
          <w:b/>
          <w:color w:val="1E3C36"/>
          <w:sz w:val="18"/>
        </w:rPr>
        <w:t>PRIORITY OF PAYMENT</w:t>
      </w:r>
    </w:p>
    <w:tbl>
      <w:tblPr>
        <w:tblW w:type="auto" w:w="0"/>
        <w:jc w:val="left"/>
        <w:tblLook w:firstColumn="1" w:firstRow="1" w:lastColumn="0" w:lastRow="0" w:noHBand="0" w:noVBand="1" w:val="04A0"/>
      </w:tblPr>
      <w:tblGrid>
        <w:gridCol w:w="3264"/>
        <w:gridCol w:w="3264"/>
        <w:gridCol w:w="3264"/>
      </w:tblGrid>
      <w:tr>
        <w:tc>
          <w:tcPr>
            <w:tcW w:type="dxa" w:w="1872"/>
            <w:shd w:val="clear" w:fill="1E3C36"/>
          </w:tcPr>
          <w:p>
            <w:pPr>
              <w:spacing w:after="40"/>
            </w:pPr>
            <w:r>
              <w:rPr>
                <w:rFonts w:ascii="Century Gothic" w:hAnsi="Century Gothic"/>
                <w:b/>
                <w:color w:val="F0EADE"/>
                <w:sz w:val="16"/>
              </w:rPr>
              <w:t>PRIORITY</w:t>
            </w:r>
          </w:p>
        </w:tc>
        <w:tc>
          <w:tcPr>
            <w:tcW w:type="dxa" w:w="5904"/>
            <w:shd w:val="clear" w:fill="1E3C36"/>
          </w:tcPr>
          <w:p>
            <w:pPr>
              <w:spacing w:after="40"/>
            </w:pPr>
            <w:r>
              <w:rPr>
                <w:rFonts w:ascii="Century Gothic" w:hAnsi="Century Gothic"/>
                <w:b/>
                <w:color w:val="F0EADE"/>
                <w:sz w:val="16"/>
              </w:rPr>
              <w:t>WHO</w:t>
            </w:r>
          </w:p>
        </w:tc>
        <w:tc>
          <w:tcPr>
            <w:tcW w:type="dxa" w:w="2016"/>
            <w:shd w:val="clear" w:fill="1E3C36"/>
          </w:tcPr>
          <w:p>
            <w:pPr>
              <w:spacing w:after="40"/>
            </w:pPr>
            <w:r>
              <w:rPr>
                <w:rFonts w:ascii="Century Gothic" w:hAnsi="Century Gothic"/>
                <w:b/>
                <w:color w:val="F0EADE"/>
                <w:sz w:val="16"/>
              </w:rPr>
              <w:t>AMOUNT</w:t>
            </w:r>
          </w:p>
        </w:tc>
      </w:tr>
      <w:tr>
        <w:tc>
          <w:tcPr>
            <w:tcW w:type="dxa" w:w="1872"/>
          </w:tcPr>
          <w:p>
            <w:pPr>
              <w:spacing w:after="40"/>
            </w:pPr>
            <w:r>
              <w:rPr>
                <w:b w:val="0"/>
                <w:color w:val="2E3B38"/>
                <w:sz w:val="20"/>
              </w:rPr>
              <w:t>Costs first</w:t>
            </w:r>
          </w:p>
        </w:tc>
        <w:tc>
          <w:tcPr>
            <w:tcW w:type="dxa" w:w="5904"/>
          </w:tcPr>
          <w:p>
            <w:pPr>
              <w:spacing w:after="40"/>
            </w:pPr>
            <w:r>
              <w:rPr>
                <w:b w:val="0"/>
                <w:color w:val="2E3B38"/>
                <w:sz w:val="20"/>
              </w:rPr>
              <w:t>Foreclosure and closing costs</w:t>
            </w:r>
          </w:p>
        </w:tc>
        <w:tc>
          <w:tcPr>
            <w:tcW w:type="dxa" w:w="2016"/>
          </w:tcPr>
          <w:p>
            <w:pPr>
              <w:spacing w:after="40"/>
            </w:pPr>
            <w:r>
              <w:rPr>
                <w:b w:val="0"/>
                <w:color w:val="2E3B38"/>
                <w:sz w:val="20"/>
              </w:rPr>
              <w:t>—</w:t>
            </w:r>
          </w:p>
        </w:tc>
      </w:tr>
      <w:tr>
        <w:tc>
          <w:tcPr>
            <w:tcW w:type="dxa" w:w="1872"/>
            <w:shd w:val="clear" w:fill="FAF6EC"/>
          </w:tcPr>
          <w:p>
            <w:pPr>
              <w:spacing w:after="40"/>
            </w:pPr>
            <w:r>
              <w:rPr>
                <w:b/>
                <w:color w:val="1E3C36"/>
                <w:sz w:val="20"/>
              </w:rPr>
              <w:t>Paid first</w:t>
            </w:r>
          </w:p>
        </w:tc>
        <w:tc>
          <w:tcPr>
            <w:tcW w:type="dxa" w:w="5904"/>
            <w:shd w:val="clear" w:fill="FAF6EC"/>
          </w:tcPr>
          <w:p>
            <w:pPr>
              <w:spacing w:after="40"/>
            </w:pPr>
            <w:r>
              <w:rPr>
                <w:b/>
                <w:color w:val="1E3C36"/>
                <w:sz w:val="20"/>
              </w:rPr>
              <w:t>Capital Partner (recorded collateral assignment)</w:t>
            </w:r>
          </w:p>
        </w:tc>
        <w:tc>
          <w:tcPr>
            <w:tcW w:type="dxa" w:w="2016"/>
            <w:shd w:val="clear" w:fill="FAF6EC"/>
          </w:tcPr>
          <w:p>
            <w:pPr>
              <w:spacing w:after="40"/>
            </w:pPr>
            <w:r>
              <w:rPr>
                <w:b/>
                <w:color w:val="1E3C36"/>
                <w:sz w:val="20"/>
              </w:rPr>
              <w:t>$140,800</w:t>
            </w:r>
          </w:p>
        </w:tc>
      </w:tr>
      <w:tr>
        <w:tc>
          <w:tcPr>
            <w:tcW w:type="dxa" w:w="1872"/>
          </w:tcPr>
          <w:p>
            <w:pPr>
              <w:spacing w:after="40"/>
            </w:pPr>
            <w:r>
              <w:rPr>
                <w:b w:val="0"/>
                <w:color w:val="2E3B38"/>
                <w:sz w:val="20"/>
              </w:rPr>
              <w:t>Paid next</w:t>
            </w:r>
          </w:p>
        </w:tc>
        <w:tc>
          <w:tcPr>
            <w:tcW w:type="dxa" w:w="5904"/>
          </w:tcPr>
          <w:p>
            <w:pPr>
              <w:spacing w:after="40"/>
            </w:pPr>
            <w:r>
              <w:rPr>
                <w:b w:val="0"/>
                <w:color w:val="2E3B38"/>
                <w:sz w:val="20"/>
              </w:rPr>
              <w:t>Lazy Dog Capital (our own money)</w:t>
            </w:r>
          </w:p>
        </w:tc>
        <w:tc>
          <w:tcPr>
            <w:tcW w:type="dxa" w:w="2016"/>
          </w:tcPr>
          <w:p>
            <w:pPr>
              <w:spacing w:after="40"/>
            </w:pPr>
            <w:r>
              <w:rPr>
                <w:b w:val="0"/>
                <w:color w:val="2E3B38"/>
                <w:sz w:val="20"/>
              </w:rPr>
              <w:t>$115,200</w:t>
            </w:r>
          </w:p>
        </w:tc>
      </w:tr>
      <w:tr>
        <w:tc>
          <w:tcPr>
            <w:tcW w:type="dxa" w:w="1872"/>
          </w:tcPr>
          <w:p>
            <w:pPr>
              <w:spacing w:after="40"/>
            </w:pPr>
            <w:r>
              <w:rPr>
                <w:b w:val="0"/>
                <w:color w:val="2E3B38"/>
                <w:sz w:val="20"/>
              </w:rPr>
              <w:t>Paid last</w:t>
            </w:r>
          </w:p>
        </w:tc>
        <w:tc>
          <w:tcPr>
            <w:tcW w:type="dxa" w:w="5904"/>
          </w:tcPr>
          <w:p>
            <w:pPr>
              <w:spacing w:after="40"/>
            </w:pPr>
            <w:r>
              <w:rPr>
                <w:b w:val="0"/>
                <w:color w:val="2E3B38"/>
                <w:sz w:val="20"/>
              </w:rPr>
              <w:t>Borrower down payment (equity)</w:t>
            </w:r>
          </w:p>
        </w:tc>
        <w:tc>
          <w:tcPr>
            <w:tcW w:type="dxa" w:w="2016"/>
          </w:tcPr>
          <w:p>
            <w:pPr>
              <w:spacing w:after="40"/>
            </w:pPr>
            <w:r>
              <w:rPr>
                <w:b w:val="0"/>
                <w:color w:val="2E3B38"/>
                <w:sz w:val="20"/>
              </w:rPr>
              <w:t>$20,000</w:t>
            </w:r>
          </w:p>
        </w:tc>
      </w:tr>
    </w:tbl>
    <w:p>
      <w:pPr>
        <w:spacing w:before="80"/>
      </w:pPr>
      <w:r>
        <w:rPr>
          <w:i/>
          <w:color w:val="6B7A75"/>
          <w:sz w:val="16"/>
        </w:rPr>
        <w:t>Costs first, then you, then Lazy Dog, then the borrower. You are paid before we are.</w:t>
      </w:r>
    </w:p>
    <w:p>
      <w:pPr>
        <w:spacing w:before="280" w:after="100"/>
        <w:pBdr>
          <w:bottom w:val="single" w:sz="4" w:space="3" w:color="DFD8C8"/>
        </w:pBdr>
      </w:pPr>
      <w:r>
        <w:rPr>
          <w:rFonts w:ascii="Century Gothic" w:hAnsi="Century Gothic"/>
          <w:b/>
          <w:color w:val="1E3C36"/>
          <w:sz w:val="18"/>
        </w:rPr>
        <w:t>YOUR RETURN</w:t>
      </w:r>
    </w:p>
    <w:tbl>
      <w:tblPr>
        <w:tblW w:type="auto" w:w="0"/>
        <w:jc w:val="left"/>
        <w:tblLook w:firstColumn="1" w:firstRow="1" w:lastColumn="0" w:lastRow="0" w:noHBand="0" w:noVBand="1" w:val="04A0"/>
      </w:tblPr>
      <w:tblGrid>
        <w:gridCol w:w="4896"/>
        <w:gridCol w:w="4896"/>
      </w:tblGrid>
      <w:tr>
        <w:tc>
          <w:tcPr>
            <w:tcW w:type="dxa" w:w="5616"/>
            <w:shd w:val="clear" w:fill="F7F6F3"/>
          </w:tcPr>
          <w:p>
            <w:pPr>
              <w:spacing w:after="40"/>
            </w:pPr>
            <w:r>
              <w:rPr>
                <w:b w:val="0"/>
                <w:color w:val="2E3B38"/>
                <w:sz w:val="20"/>
              </w:rPr>
              <w:t>Capital contributed</w:t>
            </w:r>
          </w:p>
        </w:tc>
        <w:tc>
          <w:tcPr>
            <w:tcW w:type="dxa" w:w="4176"/>
            <w:shd w:val="clear" w:fill="F7F6F3"/>
          </w:tcPr>
          <w:p>
            <w:pPr>
              <w:spacing w:after="40"/>
            </w:pPr>
            <w:r>
              <w:rPr>
                <w:b w:val="0"/>
                <w:color w:val="2E3B38"/>
                <w:sz w:val="20"/>
              </w:rPr>
              <w:t>$140,800</w:t>
            </w:r>
          </w:p>
        </w:tc>
      </w:tr>
      <w:tr>
        <w:tc>
          <w:tcPr>
            <w:tcW w:type="dxa" w:w="5616"/>
            <w:shd w:val="clear" w:fill="FFFFFF"/>
          </w:tcPr>
          <w:p>
            <w:pPr>
              <w:spacing w:after="40"/>
            </w:pPr>
            <w:r>
              <w:rPr>
                <w:b w:val="0"/>
                <w:color w:val="2E3B38"/>
                <w:sz w:val="20"/>
              </w:rPr>
              <w:t>Monthly interest ($140,800 × 6.5% ÷ 12)</w:t>
            </w:r>
          </w:p>
        </w:tc>
        <w:tc>
          <w:tcPr>
            <w:tcW w:type="dxa" w:w="4176"/>
            <w:shd w:val="clear" w:fill="FFFFFF"/>
          </w:tcPr>
          <w:p>
            <w:pPr>
              <w:spacing w:after="40"/>
            </w:pPr>
            <w:r>
              <w:rPr>
                <w:b w:val="0"/>
                <w:color w:val="2E3B38"/>
                <w:sz w:val="20"/>
              </w:rPr>
              <w:t>about $763 / month</w:t>
            </w:r>
          </w:p>
        </w:tc>
      </w:tr>
      <w:tr>
        <w:tc>
          <w:tcPr>
            <w:tcW w:type="dxa" w:w="5616"/>
            <w:shd w:val="clear" w:fill="F7F6F3"/>
          </w:tcPr>
          <w:p>
            <w:pPr>
              <w:spacing w:after="40"/>
            </w:pPr>
            <w:r>
              <w:rPr>
                <w:b w:val="0"/>
                <w:color w:val="2E3B38"/>
                <w:sz w:val="20"/>
              </w:rPr>
              <w:t>Interest received over 7 to 9 months</w:t>
            </w:r>
          </w:p>
        </w:tc>
        <w:tc>
          <w:tcPr>
            <w:tcW w:type="dxa" w:w="4176"/>
            <w:shd w:val="clear" w:fill="F7F6F3"/>
          </w:tcPr>
          <w:p>
            <w:pPr>
              <w:spacing w:after="40"/>
            </w:pPr>
            <w:r>
              <w:rPr>
                <w:b w:val="0"/>
                <w:color w:val="2E3B38"/>
                <w:sz w:val="20"/>
              </w:rPr>
              <w:t>$5,341 – $6,864</w:t>
            </w:r>
          </w:p>
        </w:tc>
      </w:tr>
      <w:tr>
        <w:tc>
          <w:tcPr>
            <w:tcW w:type="dxa" w:w="5616"/>
            <w:shd w:val="clear" w:fill="FFFFFF"/>
          </w:tcPr>
          <w:p>
            <w:pPr>
              <w:spacing w:after="40"/>
            </w:pPr>
            <w:r>
              <w:rPr>
                <w:b w:val="0"/>
                <w:color w:val="2E3B38"/>
                <w:sz w:val="20"/>
              </w:rPr>
              <w:t>Principal returned at payoff</w:t>
            </w:r>
          </w:p>
        </w:tc>
        <w:tc>
          <w:tcPr>
            <w:tcW w:type="dxa" w:w="4176"/>
            <w:shd w:val="clear" w:fill="FFFFFF"/>
          </w:tcPr>
          <w:p>
            <w:pPr>
              <w:spacing w:after="40"/>
            </w:pPr>
            <w:r>
              <w:rPr>
                <w:b w:val="0"/>
                <w:color w:val="2E3B38"/>
                <w:sz w:val="20"/>
              </w:rPr>
              <w:t>$140,800</w:t>
            </w:r>
          </w:p>
        </w:tc>
      </w:tr>
      <w:tr>
        <w:tc>
          <w:tcPr>
            <w:tcW w:type="dxa" w:w="5616"/>
            <w:shd w:val="clear" w:fill="FAF6EC"/>
          </w:tcPr>
          <w:p>
            <w:pPr>
              <w:spacing w:after="40"/>
            </w:pPr>
            <w:r>
              <w:rPr>
                <w:b/>
                <w:color w:val="1E3C36"/>
                <w:sz w:val="20"/>
              </w:rPr>
              <w:t>Total received</w:t>
            </w:r>
          </w:p>
        </w:tc>
        <w:tc>
          <w:tcPr>
            <w:tcW w:type="dxa" w:w="4176"/>
            <w:shd w:val="clear" w:fill="FAF6EC"/>
          </w:tcPr>
          <w:p>
            <w:pPr>
              <w:spacing w:after="40"/>
            </w:pPr>
            <w:r>
              <w:rPr>
                <w:b/>
                <w:color w:val="1E3C36"/>
                <w:sz w:val="20"/>
              </w:rPr>
              <w:t>$146,141 – $147,664</w:t>
            </w:r>
          </w:p>
        </w:tc>
      </w:tr>
    </w:tbl>
    <w:p>
      <w:pPr>
        <w:spacing w:before="80"/>
      </w:pPr>
      <w:r>
        <w:rPr>
          <w:i/>
          <w:color w:val="6B7A75"/>
          <w:sz w:val="16"/>
        </w:rPr>
        <w:t>The loan may be repaid at any time with no penalty. Your principal is returned and you are paid interest through the payoff date.</w:t>
      </w:r>
    </w:p>
    <w:p>
      <w:pPr>
        <w:spacing w:before="280" w:after="100"/>
        <w:pBdr>
          <w:bottom w:val="single" w:sz="4" w:space="3" w:color="DFD8C8"/>
        </w:pBdr>
      </w:pPr>
      <w:r>
        <w:rPr>
          <w:rFonts w:ascii="Century Gothic" w:hAnsi="Century Gothic"/>
          <w:b/>
          <w:color w:val="1E3C36"/>
          <w:sz w:val="18"/>
        </w:rPr>
        <w:t>DEAL TIMELINE</w:t>
      </w:r>
    </w:p>
    <w:tbl>
      <w:tblPr>
        <w:tblW w:type="auto" w:w="0"/>
        <w:jc w:val="left"/>
        <w:tblLook w:firstColumn="1" w:firstRow="1" w:lastColumn="0" w:lastRow="0" w:noHBand="0" w:noVBand="1" w:val="04A0"/>
      </w:tblPr>
      <w:tblGrid>
        <w:gridCol w:w="4896"/>
        <w:gridCol w:w="4896"/>
      </w:tblGrid>
      <w:tr>
        <w:tc>
          <w:tcPr>
            <w:tcW w:type="dxa" w:w="1872"/>
            <w:shd w:val="clear" w:fill="1E3C36"/>
          </w:tcPr>
          <w:p>
            <w:pPr>
              <w:spacing w:after="40"/>
            </w:pPr>
            <w:r>
              <w:rPr>
                <w:rFonts w:ascii="Century Gothic" w:hAnsi="Century Gothic"/>
                <w:b/>
                <w:color w:val="F0EADE"/>
                <w:sz w:val="16"/>
              </w:rPr>
              <w:t>WHEN</w:t>
            </w:r>
          </w:p>
        </w:tc>
        <w:tc>
          <w:tcPr>
            <w:tcW w:type="dxa" w:w="7920"/>
            <w:shd w:val="clear" w:fill="1E3C36"/>
          </w:tcPr>
          <w:p>
            <w:pPr>
              <w:spacing w:after="40"/>
            </w:pPr>
            <w:r>
              <w:rPr>
                <w:rFonts w:ascii="Century Gothic" w:hAnsi="Century Gothic"/>
                <w:b/>
                <w:color w:val="F0EADE"/>
                <w:sz w:val="16"/>
              </w:rPr>
              <w:t>WHAT HAPPENS</w:t>
            </w:r>
          </w:p>
        </w:tc>
      </w:tr>
      <w:tr>
        <w:tc>
          <w:tcPr>
            <w:tcW w:type="dxa" w:w="1872"/>
          </w:tcPr>
          <w:p>
            <w:pPr>
              <w:spacing w:after="40"/>
            </w:pPr>
            <w:r>
              <w:rPr>
                <w:b w:val="0"/>
                <w:color w:val="2E3B38"/>
                <w:sz w:val="20"/>
              </w:rPr>
              <w:t>Month 1</w:t>
            </w:r>
          </w:p>
        </w:tc>
        <w:tc>
          <w:tcPr>
            <w:tcW w:type="dxa" w:w="7920"/>
          </w:tcPr>
          <w:p>
            <w:pPr>
              <w:spacing w:after="40"/>
            </w:pPr>
            <w:r>
              <w:rPr>
                <w:b w:val="0"/>
                <w:color w:val="2E3B38"/>
                <w:sz w:val="20"/>
              </w:rPr>
              <w:t>Loan closes at title. First-lien deed of trust and your collateral assignment record. Purchase funds; demolition begins.</w:t>
            </w:r>
          </w:p>
        </w:tc>
      </w:tr>
      <w:tr>
        <w:tc>
          <w:tcPr>
            <w:tcW w:type="dxa" w:w="1872"/>
          </w:tcPr>
          <w:p>
            <w:pPr>
              <w:spacing w:after="40"/>
            </w:pPr>
            <w:r>
              <w:rPr>
                <w:b w:val="0"/>
                <w:color w:val="2E3B38"/>
                <w:sz w:val="20"/>
              </w:rPr>
              <w:t>Months 2 – 3</w:t>
            </w:r>
          </w:p>
        </w:tc>
        <w:tc>
          <w:tcPr>
            <w:tcW w:type="dxa" w:w="7920"/>
          </w:tcPr>
          <w:p>
            <w:pPr>
              <w:spacing w:after="40"/>
            </w:pPr>
            <w:r>
              <w:rPr>
                <w:b w:val="0"/>
                <w:color w:val="2E3B38"/>
                <w:sz w:val="20"/>
              </w:rPr>
              <w:t>Rehab underway. Holdback reimbursed as completed work is paid for by the borrower, verified, and inspected in person.</w:t>
            </w:r>
          </w:p>
        </w:tc>
      </w:tr>
      <w:tr>
        <w:tc>
          <w:tcPr>
            <w:tcW w:type="dxa" w:w="1872"/>
          </w:tcPr>
          <w:p>
            <w:pPr>
              <w:spacing w:after="40"/>
            </w:pPr>
            <w:r>
              <w:rPr>
                <w:b w:val="0"/>
                <w:color w:val="2E3B38"/>
                <w:sz w:val="20"/>
              </w:rPr>
              <w:t>Months 4 – 5</w:t>
            </w:r>
          </w:p>
        </w:tc>
        <w:tc>
          <w:tcPr>
            <w:tcW w:type="dxa" w:w="7920"/>
          </w:tcPr>
          <w:p>
            <w:pPr>
              <w:spacing w:after="40"/>
            </w:pPr>
            <w:r>
              <w:rPr>
                <w:b w:val="0"/>
                <w:color w:val="2E3B38"/>
                <w:sz w:val="20"/>
              </w:rPr>
              <w:t>Renovation complete; on the market.</w:t>
            </w:r>
          </w:p>
        </w:tc>
      </w:tr>
      <w:tr>
        <w:tc>
          <w:tcPr>
            <w:tcW w:type="dxa" w:w="1872"/>
          </w:tcPr>
          <w:p>
            <w:pPr>
              <w:spacing w:after="40"/>
            </w:pPr>
            <w:r>
              <w:rPr>
                <w:b w:val="0"/>
                <w:color w:val="2E3B38"/>
                <w:sz w:val="20"/>
              </w:rPr>
              <w:t>Month 6</w:t>
            </w:r>
          </w:p>
        </w:tc>
        <w:tc>
          <w:tcPr>
            <w:tcW w:type="dxa" w:w="7920"/>
          </w:tcPr>
          <w:p>
            <w:pPr>
              <w:spacing w:after="40"/>
            </w:pPr>
            <w:r>
              <w:rPr>
                <w:b w:val="0"/>
                <w:color w:val="2E3B38"/>
                <w:sz w:val="20"/>
              </w:rPr>
              <w:t>Under contract.</w:t>
            </w:r>
          </w:p>
        </w:tc>
      </w:tr>
      <w:tr>
        <w:tc>
          <w:tcPr>
            <w:tcW w:type="dxa" w:w="1872"/>
          </w:tcPr>
          <w:p>
            <w:pPr>
              <w:spacing w:after="40"/>
            </w:pPr>
            <w:r>
              <w:rPr>
                <w:b w:val="0"/>
                <w:color w:val="2E3B38"/>
                <w:sz w:val="20"/>
              </w:rPr>
              <w:t>Month 7</w:t>
            </w:r>
          </w:p>
        </w:tc>
        <w:tc>
          <w:tcPr>
            <w:tcW w:type="dxa" w:w="7920"/>
          </w:tcPr>
          <w:p>
            <w:pPr>
              <w:spacing w:after="40"/>
            </w:pPr>
            <w:r>
              <w:rPr>
                <w:b w:val="0"/>
                <w:color w:val="2E3B38"/>
                <w:sz w:val="20"/>
              </w:rPr>
              <w:t>Sale closes at $320,000. Loan paid in full — your $140,800 principal plus all accrued interest returned.</w:t>
            </w:r>
          </w:p>
        </w:tc>
      </w:tr>
    </w:tbl>
    <w:p>
      <w:pPr>
        <w:spacing w:before="80"/>
      </w:pPr>
      <w:r>
        <w:rPr>
          <w:i/>
          <w:color w:val="6B7A75"/>
          <w:sz w:val="16"/>
        </w:rPr>
        <w:t>This example runs 7 to 9 months. Notes are written on a nine-month term with one three-month extension available. If the property ever has to be foreclosed on, repayment of your capital extends until the property is sold — you continue to earn your return the entire time, and it is paid in full from the sale proceeds.</w:t>
      </w:r>
    </w:p>
    <w:p>
      <w:pPr>
        <w:spacing w:before="280" w:after="100"/>
        <w:pBdr>
          <w:bottom w:val="single" w:sz="4" w:space="3" w:color="DFD8C8"/>
        </w:pBdr>
      </w:pPr>
      <w:r>
        <w:rPr>
          <w:rFonts w:ascii="Century Gothic" w:hAnsi="Century Gothic"/>
          <w:b/>
          <w:color w:val="1E3C36"/>
          <w:sz w:val="18"/>
        </w:rPr>
        <w:t>HOW YOU ARE PROTECTED</w:t>
      </w:r>
    </w:p>
    <w:p>
      <w:r>
        <w:t>Your principal is protected from the day you fund — and that protection only grows as the project moves forward. Here is the cushion beneath your $140,800 first-priority position at both ends of the deal.</w:t>
      </w:r>
    </w:p>
    <w:tbl>
      <w:tblPr>
        <w:tblW w:type="auto" w:w="0"/>
        <w:jc w:val="left"/>
        <w:tblLook w:firstColumn="1" w:firstRow="1" w:lastColumn="0" w:lastRow="0" w:noHBand="0" w:noVBand="1" w:val="04A0"/>
      </w:tblPr>
      <w:tblGrid>
        <w:gridCol w:w="3264"/>
        <w:gridCol w:w="3264"/>
        <w:gridCol w:w="3264"/>
      </w:tblGrid>
      <w:tr>
        <w:tc>
          <w:tcPr>
            <w:tcW w:type="dxa" w:w="5184"/>
            <w:shd w:val="clear" w:fill="1E3C36"/>
          </w:tcPr>
          <w:p>
            <w:pPr>
              <w:spacing w:after="40"/>
            </w:pPr>
            <w:r>
              <w:rPr>
                <w:rFonts w:ascii="Century Gothic" w:hAnsi="Century Gothic"/>
                <w:b/>
                <w:color w:val="F0EADE"/>
                <w:sz w:val="16"/>
              </w:rPr>
              <w:t>PROTECTION BENEATH YOUR $140,800</w:t>
            </w:r>
          </w:p>
        </w:tc>
        <w:tc>
          <w:tcPr>
            <w:tcW w:type="dxa" w:w="2304"/>
            <w:shd w:val="clear" w:fill="1E3C36"/>
          </w:tcPr>
          <w:p>
            <w:pPr>
              <w:spacing w:after="40"/>
            </w:pPr>
            <w:r>
              <w:rPr>
                <w:rFonts w:ascii="Century Gothic" w:hAnsi="Century Gothic"/>
                <w:b/>
                <w:color w:val="F0EADE"/>
                <w:sz w:val="16"/>
              </w:rPr>
              <w:t>AT CLOSING</w:t>
            </w:r>
          </w:p>
        </w:tc>
        <w:tc>
          <w:tcPr>
            <w:tcW w:type="dxa" w:w="2304"/>
            <w:shd w:val="clear" w:fill="1E3C36"/>
          </w:tcPr>
          <w:p>
            <w:pPr>
              <w:spacing w:after="40"/>
            </w:pPr>
            <w:r>
              <w:rPr>
                <w:rFonts w:ascii="Century Gothic" w:hAnsi="Century Gothic"/>
                <w:b/>
                <w:color w:val="F0EADE"/>
                <w:sz w:val="16"/>
              </w:rPr>
              <w:t>AT FINISH</w:t>
            </w:r>
          </w:p>
        </w:tc>
      </w:tr>
      <w:tr>
        <w:tc>
          <w:tcPr>
            <w:tcW w:type="dxa" w:w="5184"/>
          </w:tcPr>
          <w:p>
            <w:pPr>
              <w:spacing w:after="40"/>
            </w:pPr>
            <w:r>
              <w:rPr>
                <w:b w:val="0"/>
                <w:color w:val="2E3B38"/>
                <w:sz w:val="20"/>
              </w:rPr>
              <w:t>Lazy Dog Capital — our own money</w:t>
            </w:r>
          </w:p>
        </w:tc>
        <w:tc>
          <w:tcPr>
            <w:tcW w:type="dxa" w:w="2304"/>
          </w:tcPr>
          <w:p>
            <w:pPr>
              <w:spacing w:after="40"/>
            </w:pPr>
            <w:r>
              <w:rPr>
                <w:b w:val="0"/>
                <w:color w:val="2E3B38"/>
                <w:sz w:val="20"/>
              </w:rPr>
              <w:t>$39,200</w:t>
            </w:r>
          </w:p>
        </w:tc>
        <w:tc>
          <w:tcPr>
            <w:tcW w:type="dxa" w:w="2304"/>
          </w:tcPr>
          <w:p>
            <w:pPr>
              <w:spacing w:after="40"/>
            </w:pPr>
            <w:r>
              <w:rPr>
                <w:b w:val="0"/>
                <w:color w:val="2E3B38"/>
                <w:sz w:val="20"/>
              </w:rPr>
              <w:t>$115,200</w:t>
            </w:r>
          </w:p>
        </w:tc>
      </w:tr>
      <w:tr>
        <w:tc>
          <w:tcPr>
            <w:tcW w:type="dxa" w:w="5184"/>
          </w:tcPr>
          <w:p>
            <w:pPr>
              <w:spacing w:after="40"/>
            </w:pPr>
            <w:r>
              <w:rPr>
                <w:b w:val="0"/>
                <w:color w:val="2E3B38"/>
                <w:sz w:val="20"/>
              </w:rPr>
              <w:t>Borrower's cash in the deal</w:t>
            </w:r>
          </w:p>
        </w:tc>
        <w:tc>
          <w:tcPr>
            <w:tcW w:type="dxa" w:w="2304"/>
          </w:tcPr>
          <w:p>
            <w:pPr>
              <w:spacing w:after="40"/>
            </w:pPr>
            <w:r>
              <w:rPr>
                <w:b w:val="0"/>
                <w:color w:val="2E3B38"/>
                <w:sz w:val="20"/>
              </w:rPr>
              <w:t>$20,000</w:t>
            </w:r>
          </w:p>
        </w:tc>
        <w:tc>
          <w:tcPr>
            <w:tcW w:type="dxa" w:w="2304"/>
          </w:tcPr>
          <w:p>
            <w:pPr>
              <w:spacing w:after="40"/>
            </w:pPr>
            <w:r>
              <w:rPr>
                <w:b w:val="0"/>
                <w:color w:val="2E3B38"/>
                <w:sz w:val="20"/>
              </w:rPr>
              <w:t>$20,000</w:t>
            </w:r>
          </w:p>
        </w:tc>
      </w:tr>
      <w:tr>
        <w:tc>
          <w:tcPr>
            <w:tcW w:type="dxa" w:w="5184"/>
          </w:tcPr>
          <w:p>
            <w:pPr>
              <w:spacing w:after="40"/>
            </w:pPr>
            <w:r>
              <w:rPr>
                <w:b w:val="0"/>
                <w:color w:val="2E3B38"/>
                <w:sz w:val="20"/>
              </w:rPr>
              <w:t>Other people's cash protecting you</w:t>
            </w:r>
          </w:p>
        </w:tc>
        <w:tc>
          <w:tcPr>
            <w:tcW w:type="dxa" w:w="2304"/>
          </w:tcPr>
          <w:p>
            <w:pPr>
              <w:spacing w:after="40"/>
            </w:pPr>
            <w:r>
              <w:rPr>
                <w:b w:val="0"/>
                <w:color w:val="2E3B38"/>
                <w:sz w:val="20"/>
              </w:rPr>
              <w:t>$59,200</w:t>
            </w:r>
          </w:p>
        </w:tc>
        <w:tc>
          <w:tcPr>
            <w:tcW w:type="dxa" w:w="2304"/>
          </w:tcPr>
          <w:p>
            <w:pPr>
              <w:spacing w:after="40"/>
            </w:pPr>
            <w:r>
              <w:rPr>
                <w:b w:val="0"/>
                <w:color w:val="2E3B38"/>
                <w:sz w:val="20"/>
              </w:rPr>
              <w:t>$135,200</w:t>
            </w:r>
          </w:p>
        </w:tc>
      </w:tr>
      <w:tr>
        <w:tc>
          <w:tcPr>
            <w:tcW w:type="dxa" w:w="5184"/>
          </w:tcPr>
          <w:p>
            <w:pPr>
              <w:spacing w:after="40"/>
            </w:pPr>
            <w:r>
              <w:rPr>
                <w:b w:val="0"/>
                <w:color w:val="2E3B38"/>
                <w:sz w:val="20"/>
              </w:rPr>
              <w:t>Equity created by the renovation</w:t>
            </w:r>
          </w:p>
        </w:tc>
        <w:tc>
          <w:tcPr>
            <w:tcW w:type="dxa" w:w="2304"/>
          </w:tcPr>
          <w:p>
            <w:pPr>
              <w:spacing w:after="40"/>
            </w:pPr>
            <w:r>
              <w:rPr>
                <w:b w:val="0"/>
                <w:color w:val="2E3B38"/>
                <w:sz w:val="20"/>
              </w:rPr>
              <w:t>—</w:t>
            </w:r>
          </w:p>
        </w:tc>
        <w:tc>
          <w:tcPr>
            <w:tcW w:type="dxa" w:w="2304"/>
          </w:tcPr>
          <w:p>
            <w:pPr>
              <w:spacing w:after="40"/>
            </w:pPr>
            <w:r>
              <w:rPr>
                <w:b w:val="0"/>
                <w:color w:val="2E3B38"/>
                <w:sz w:val="20"/>
              </w:rPr>
              <w:t>+ $44,000</w:t>
            </w:r>
          </w:p>
        </w:tc>
      </w:tr>
      <w:tr>
        <w:tc>
          <w:tcPr>
            <w:tcW w:type="dxa" w:w="5184"/>
            <w:shd w:val="clear" w:fill="FAF6EC"/>
          </w:tcPr>
          <w:p>
            <w:pPr>
              <w:spacing w:after="40"/>
            </w:pPr>
            <w:r>
              <w:rPr>
                <w:b/>
                <w:color w:val="1E3C36"/>
                <w:sz w:val="20"/>
              </w:rPr>
              <w:t>Total cash + equity beneath you</w:t>
            </w:r>
          </w:p>
        </w:tc>
        <w:tc>
          <w:tcPr>
            <w:tcW w:type="dxa" w:w="2304"/>
            <w:shd w:val="clear" w:fill="FAF6EC"/>
          </w:tcPr>
          <w:p>
            <w:pPr>
              <w:spacing w:after="40"/>
            </w:pPr>
            <w:r>
              <w:rPr>
                <w:b/>
                <w:color w:val="1E3C36"/>
                <w:sz w:val="20"/>
              </w:rPr>
              <w:t>$59,200</w:t>
            </w:r>
          </w:p>
        </w:tc>
        <w:tc>
          <w:tcPr>
            <w:tcW w:type="dxa" w:w="2304"/>
            <w:shd w:val="clear" w:fill="FAF6EC"/>
          </w:tcPr>
          <w:p>
            <w:pPr>
              <w:spacing w:after="40"/>
            </w:pPr>
            <w:r>
              <w:rPr>
                <w:b/>
                <w:color w:val="1E3C36"/>
                <w:sz w:val="20"/>
              </w:rPr>
              <w:t>about $179,200</w:t>
            </w:r>
          </w:p>
        </w:tc>
      </w:tr>
    </w:tbl>
    <w:p>
      <w:r>
        <w:t>At closing, roughly $59,200 of other people's cash sits beneath you. By finish that climbs to $135,200, and the renovation adds created equity on top — about $179,200 of cash and equity, 56% of the finished home's value, standing in front of any loss to your principal.</w:t>
      </w:r>
    </w:p>
    <w:p>
      <w:pPr>
        <w:spacing w:before="280" w:after="100"/>
        <w:pBdr>
          <w:bottom w:val="single" w:sz="4" w:space="3" w:color="DFD8C8"/>
        </w:pBdr>
      </w:pPr>
      <w:r>
        <w:rPr>
          <w:rFonts w:ascii="Century Gothic" w:hAnsi="Century Gothic"/>
          <w:b/>
          <w:color w:val="1E3C36"/>
          <w:sz w:val="18"/>
        </w:rPr>
        <w:t>DOWNSIDE STRESS TEST</w:t>
      </w:r>
    </w:p>
    <w:p>
      <w:r>
        <w:t>How far would the price have to fall before your principal takes its first dollar of loss?</w:t>
      </w:r>
    </w:p>
    <w:tbl>
      <w:tblPr>
        <w:tblW w:type="auto" w:w="0"/>
        <w:jc w:val="left"/>
        <w:tblLook w:firstColumn="1" w:firstRow="1" w:lastColumn="0" w:lastRow="0" w:noHBand="0" w:noVBand="1" w:val="04A0"/>
      </w:tblPr>
      <w:tblGrid>
        <w:gridCol w:w="3264"/>
        <w:gridCol w:w="3264"/>
        <w:gridCol w:w="3264"/>
      </w:tblGrid>
      <w:tr>
        <w:tc>
          <w:tcPr>
            <w:tcW w:type="dxa" w:w="5184"/>
            <w:shd w:val="clear" w:fill="1E3C36"/>
          </w:tcPr>
          <w:p>
            <w:pPr>
              <w:spacing w:after="40"/>
            </w:pPr>
            <w:r>
              <w:rPr>
                <w:rFonts w:ascii="Century Gothic" w:hAnsi="Century Gothic"/>
                <w:b/>
                <w:color w:val="F0EADE"/>
                <w:sz w:val="16"/>
              </w:rPr>
              <w:t>IF THE PROPERTY SOLD AT…</w:t>
            </w:r>
          </w:p>
        </w:tc>
        <w:tc>
          <w:tcPr>
            <w:tcW w:type="dxa" w:w="2304"/>
            <w:shd w:val="clear" w:fill="1E3C36"/>
          </w:tcPr>
          <w:p>
            <w:pPr>
              <w:spacing w:after="40"/>
            </w:pPr>
            <w:r>
              <w:rPr>
                <w:rFonts w:ascii="Century Gothic" w:hAnsi="Century Gothic"/>
                <w:b/>
                <w:color w:val="F0EADE"/>
                <w:sz w:val="16"/>
              </w:rPr>
              <w:t>VS. ARV</w:t>
            </w:r>
          </w:p>
        </w:tc>
        <w:tc>
          <w:tcPr>
            <w:tcW w:type="dxa" w:w="2304"/>
            <w:shd w:val="clear" w:fill="1E3C36"/>
          </w:tcPr>
          <w:p>
            <w:pPr>
              <w:spacing w:after="40"/>
            </w:pPr>
            <w:r>
              <w:rPr>
                <w:rFonts w:ascii="Century Gothic" w:hAnsi="Century Gothic"/>
                <w:b/>
                <w:color w:val="F0EADE"/>
                <w:sz w:val="16"/>
              </w:rPr>
              <w:t>YOUR $140,800</w:t>
            </w:r>
          </w:p>
        </w:tc>
      </w:tr>
      <w:tr>
        <w:tc>
          <w:tcPr>
            <w:tcW w:type="dxa" w:w="5184"/>
          </w:tcPr>
          <w:p>
            <w:pPr>
              <w:spacing w:after="40"/>
            </w:pPr>
            <w:r>
              <w:rPr>
                <w:b w:val="0"/>
                <w:color w:val="2E3B38"/>
                <w:sz w:val="20"/>
              </w:rPr>
              <w:t>$320,000 (plan)</w:t>
            </w:r>
          </w:p>
        </w:tc>
        <w:tc>
          <w:tcPr>
            <w:tcW w:type="dxa" w:w="2304"/>
          </w:tcPr>
          <w:p>
            <w:pPr>
              <w:spacing w:after="40"/>
            </w:pPr>
            <w:r>
              <w:rPr>
                <w:b w:val="0"/>
                <w:color w:val="2E3B38"/>
                <w:sz w:val="20"/>
              </w:rPr>
              <w:t>ARV</w:t>
            </w:r>
          </w:p>
        </w:tc>
        <w:tc>
          <w:tcPr>
            <w:tcW w:type="dxa" w:w="2304"/>
          </w:tcPr>
          <w:p>
            <w:pPr>
              <w:spacing w:after="40"/>
            </w:pPr>
            <w:r>
              <w:rPr>
                <w:b w:val="0"/>
                <w:color w:val="2E3B38"/>
                <w:sz w:val="20"/>
              </w:rPr>
              <w:t>Fully repaid</w:t>
            </w:r>
          </w:p>
        </w:tc>
      </w:tr>
      <w:tr>
        <w:tc>
          <w:tcPr>
            <w:tcW w:type="dxa" w:w="5184"/>
          </w:tcPr>
          <w:p>
            <w:pPr>
              <w:spacing w:after="40"/>
            </w:pPr>
            <w:r>
              <w:rPr>
                <w:b w:val="0"/>
                <w:color w:val="2E3B38"/>
                <w:sz w:val="20"/>
              </w:rPr>
              <w:t>$256,000 — a 20% miss</w:t>
            </w:r>
          </w:p>
        </w:tc>
        <w:tc>
          <w:tcPr>
            <w:tcW w:type="dxa" w:w="2304"/>
          </w:tcPr>
          <w:p>
            <w:pPr>
              <w:spacing w:after="40"/>
            </w:pPr>
            <w:r>
              <w:rPr>
                <w:b w:val="0"/>
                <w:color w:val="2E3B38"/>
                <w:sz w:val="20"/>
              </w:rPr>
              <w:t>–20%</w:t>
            </w:r>
          </w:p>
        </w:tc>
        <w:tc>
          <w:tcPr>
            <w:tcW w:type="dxa" w:w="2304"/>
          </w:tcPr>
          <w:p>
            <w:pPr>
              <w:spacing w:after="40"/>
            </w:pPr>
            <w:r>
              <w:rPr>
                <w:b w:val="0"/>
                <w:color w:val="2E3B38"/>
                <w:sz w:val="20"/>
              </w:rPr>
              <w:t>Fully repaid</w:t>
            </w:r>
          </w:p>
        </w:tc>
      </w:tr>
      <w:tr>
        <w:tc>
          <w:tcPr>
            <w:tcW w:type="dxa" w:w="5184"/>
          </w:tcPr>
          <w:p>
            <w:pPr>
              <w:spacing w:after="40"/>
            </w:pPr>
            <w:r>
              <w:rPr>
                <w:b w:val="0"/>
                <w:color w:val="2E3B38"/>
                <w:sz w:val="20"/>
              </w:rPr>
              <w:t>$200,000 — the un-renovated purchase price</w:t>
            </w:r>
          </w:p>
        </w:tc>
        <w:tc>
          <w:tcPr>
            <w:tcW w:type="dxa" w:w="2304"/>
          </w:tcPr>
          <w:p>
            <w:pPr>
              <w:spacing w:after="40"/>
            </w:pPr>
            <w:r>
              <w:rPr>
                <w:b w:val="0"/>
                <w:color w:val="2E3B38"/>
                <w:sz w:val="20"/>
              </w:rPr>
              <w:t>–37.5%</w:t>
            </w:r>
          </w:p>
        </w:tc>
        <w:tc>
          <w:tcPr>
            <w:tcW w:type="dxa" w:w="2304"/>
          </w:tcPr>
          <w:p>
            <w:pPr>
              <w:spacing w:after="40"/>
            </w:pPr>
            <w:r>
              <w:rPr>
                <w:b w:val="0"/>
                <w:color w:val="2E3B38"/>
                <w:sz w:val="20"/>
              </w:rPr>
              <w:t>Fully repaid</w:t>
            </w:r>
          </w:p>
        </w:tc>
      </w:tr>
      <w:tr>
        <w:tc>
          <w:tcPr>
            <w:tcW w:type="dxa" w:w="5184"/>
            <w:shd w:val="clear" w:fill="FAF6EC"/>
          </w:tcPr>
          <w:p>
            <w:pPr>
              <w:spacing w:after="40"/>
            </w:pPr>
            <w:r>
              <w:rPr>
                <w:b/>
                <w:color w:val="1E3C36"/>
                <w:sz w:val="20"/>
              </w:rPr>
              <w:t>$158,000 — approximate breakeven</w:t>
            </w:r>
          </w:p>
        </w:tc>
        <w:tc>
          <w:tcPr>
            <w:tcW w:type="dxa" w:w="2304"/>
            <w:shd w:val="clear" w:fill="FAF6EC"/>
          </w:tcPr>
          <w:p>
            <w:pPr>
              <w:spacing w:after="40"/>
            </w:pPr>
            <w:r>
              <w:rPr>
                <w:b/>
                <w:color w:val="1E3C36"/>
                <w:sz w:val="20"/>
              </w:rPr>
              <w:t>–51%</w:t>
            </w:r>
          </w:p>
        </w:tc>
        <w:tc>
          <w:tcPr>
            <w:tcW w:type="dxa" w:w="2304"/>
            <w:shd w:val="clear" w:fill="FAF6EC"/>
          </w:tcPr>
          <w:p>
            <w:pPr>
              <w:spacing w:after="40"/>
            </w:pPr>
            <w:r>
              <w:rPr>
                <w:b/>
                <w:color w:val="1E3C36"/>
                <w:sz w:val="20"/>
              </w:rPr>
              <w:t>Fully repaid</w:t>
            </w:r>
          </w:p>
        </w:tc>
      </w:tr>
    </w:tbl>
    <w:p>
      <w:pPr>
        <w:spacing w:before="80"/>
      </w:pPr>
      <w:r>
        <w:rPr>
          <w:i/>
          <w:color w:val="6B7A75"/>
          <w:sz w:val="16"/>
        </w:rPr>
        <w:t>* Breakeven assumes your principal, all accrued interest, and an allowance for foreclosure costs are recovered first from sale proceeds.</w:t>
      </w:r>
    </w:p>
    <w:p>
      <w:r>
        <w:t>In plain English: this property would have to sell for roughly half its finished value — and 21% below what the borrower paid for it before a single repair — before your position is impaired. Before that happens, the borrower's $20,000 and Lazy Dog's own $115,200 absorb every dollar of loss first.</w:t>
      </w:r>
    </w:p>
    <w:p>
      <w:pPr>
        <w:spacing w:before="280" w:after="100"/>
        <w:pBdr>
          <w:bottom w:val="single" w:sz="4" w:space="3" w:color="DFD8C8"/>
        </w:pBdr>
      </w:pPr>
      <w:r>
        <w:rPr>
          <w:rFonts w:ascii="Century Gothic" w:hAnsi="Century Gothic"/>
          <w:b/>
          <w:color w:val="1E3C36"/>
          <w:sz w:val="18"/>
        </w:rPr>
        <w:t>IMPORTANT DISCLOSURES</w:t>
      </w:r>
    </w:p>
    <w:p>
      <w:r>
        <w:rPr>
          <w:color w:val="6B7A75"/>
          <w:sz w:val="15"/>
        </w:rPr>
        <w:t>This case study is an illustrative example based on representative deal terms and is provided for discussion purposes only. It is not an offer to sell or a solicitation of an offer to buy any security. Capital partner returns are secured by a recorded first-priority collateral assignment of a first-lien note and deed of trust on a specific Texas property; they are secured, not guaranteed. Past performance does not guarantee future results. Real estate values can decline, borrowers can default, and foreclosure recoveries can be less than anticipated. Figures shown are before any taxes; interest income is generally taxed as ordinary income. Prospective capital partners should review all loan documents and consult their own legal, tax, and financial advisors before investing.</w:t>
      </w:r>
    </w:p>
    <w:sectPr w:rsidR="00FC693F" w:rsidRPr="0006063C" w:rsidSect="00034616">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