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EMAIL TEMPLATE — Cleared to Close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STAGE 06 · SENT WHEN ALL CONDITIONS ARE SATISFIED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Subject:</w:t>
      </w:r>
      <w:r>
        <w:rPr>
          <w:color w:val="2E3B38"/>
          <w:sz w:val="21"/>
        </w:rPr>
        <w:t xml:space="preserve"> Cleared to close — {{PROPERTY_ADDRESS}}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Hi {{BORROWER_FIRST_NAME}},</w:t>
      </w:r>
    </w:p>
    <w:p>
      <w:pPr>
        <w:spacing w:after="120"/>
      </w:pPr>
      <w:r>
        <w:rPr>
          <w:color w:val="2E3B38"/>
          <w:sz w:val="21"/>
        </w:rPr>
        <w:t xml:space="preserve">You're </w:t>
      </w:r>
      <w:r>
        <w:rPr>
          <w:b/>
          <w:color w:val="1E3C36"/>
          <w:sz w:val="21"/>
        </w:rPr>
        <w:t>cleared to close</w:t>
      </w:r>
      <w:r>
        <w:rPr>
          <w:color w:val="2E3B38"/>
          <w:sz w:val="21"/>
        </w:rPr>
        <w:t xml:space="preserve"> on {{PROPERTY_ADDRESS}}. We have everything we need from you.</w:t>
      </w:r>
    </w:p>
    <w:p>
      <w:pPr>
        <w:spacing w:after="120"/>
      </w:pPr>
      <w:r>
        <w:rPr>
          <w:b/>
          <w:color w:val="1E3C36"/>
          <w:sz w:val="21"/>
        </w:rPr>
        <w:t>Closing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Date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{{CLOSING_DATE}}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Location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{{TITLE_COMPANY}}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{{TITLE_COMPANY_ADDRESS}}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Closer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{{CLOSER_NAME}} · {{CLOSER_PHONE}}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{{TITLE_COMPANY}} will confirm your closing time directly.</w:t>
      </w:r>
    </w:p>
    <w:p>
      <w:pPr>
        <w:spacing w:after="120"/>
      </w:pPr>
      <w:r>
        <w:rPr>
          <w:b/>
          <w:color w:val="1E3C36"/>
          <w:sz w:val="21"/>
        </w:rPr>
        <w:t>What to bring</w:t>
      </w:r>
    </w:p>
    <w:p>
      <w:pPr>
        <w:pStyle w:val="ListBullet"/>
        <w:spacing w:after="60"/>
      </w:pPr>
      <w:r>
        <w:rPr>
          <w:color w:val="2E3B38"/>
          <w:sz w:val="21"/>
        </w:rPr>
        <w:t>Government-issued photo ID for every person signing — must be unexpired</w:t>
      </w:r>
    </w:p>
    <w:p>
      <w:pPr>
        <w:pStyle w:val="ListBullet"/>
        <w:spacing w:after="60"/>
      </w:pPr>
      <w:r>
        <w:rPr>
          <w:color w:val="2E3B38"/>
          <w:sz w:val="21"/>
        </w:rPr>
        <w:t>Certified funds or a wire for the amount shown on your settlement statement</w:t>
      </w:r>
    </w:p>
    <w:p>
      <w:pPr>
        <w:spacing w:after="120"/>
      </w:pPr>
      <w:r>
        <w:rPr>
          <w:b/>
          <w:color w:val="1E3C36"/>
          <w:sz w:val="21"/>
        </w:rPr>
        <w:t>Funds due at closing</w:t>
      </w:r>
    </w:p>
    <w:p>
      <w:pPr>
        <w:spacing w:after="120"/>
      </w:pPr>
      <w:r>
        <w:rPr>
          <w:color w:val="2E3B38"/>
          <w:sz w:val="21"/>
        </w:rPr>
        <w:t>{{TITLE_COMPANY}} will send you a settlement statement with the exact amount you owe at closing. That statement covers everything — your down payment, our fees, and all title, escrow, and recording charges.</w:t>
      </w:r>
    </w:p>
    <w:p>
      <w:pPr>
        <w:spacing w:after="120"/>
      </w:pPr>
      <w:r>
        <w:rPr>
          <w:b/>
          <w:color w:val="1E3C36"/>
          <w:sz w:val="21"/>
        </w:rPr>
        <w:t>Wire early.</w:t>
      </w:r>
      <w:r>
        <w:rPr>
          <w:color w:val="2E3B38"/>
          <w:sz w:val="21"/>
        </w:rPr>
        <w:t xml:space="preserve"> Same-day wires often miss the cutoff, and a late wire means a rescheduled closing.</w:t>
      </w:r>
    </w:p>
    <w:p>
      <w:pPr>
        <w:spacing w:after="120"/>
      </w:pPr>
      <w:r>
        <w:rPr>
          <w:b/>
          <w:color w:val="1E3C36"/>
          <w:sz w:val="21"/>
        </w:rPr>
        <w:t>What you'll be signing</w:t>
      </w:r>
    </w:p>
    <w:p>
      <w:pPr>
        <w:spacing w:after="120"/>
      </w:pPr>
      <w:r>
        <w:rPr>
          <w:color w:val="2E3B38"/>
          <w:sz w:val="21"/>
        </w:rPr>
        <w:t>Promissory Note, Deed of Trust, Personal Guarantee from each principal, Business Purpose and Non-Homestead Affidavit, Payment Instructions, and a W-9. Every principal and guarantor needs to be present, and a notary will be there.</w:t>
      </w:r>
    </w:p>
    <w:p>
      <w:pPr>
        <w:spacing w:after="120"/>
      </w:pPr>
      <w:r>
        <w:rPr>
          <w:color w:val="2E3B38"/>
          <w:sz w:val="21"/>
        </w:rPr>
        <w:t>If someone can't attend in person, tell us now — not the day before. Powers of attorney take time to set up and have to be approved in advance.</w:t>
      </w:r>
    </w:p>
    <w:p>
      <w:pPr>
        <w:spacing w:after="120"/>
      </w:pPr>
      <w:r>
        <w:rPr>
          <w:b/>
          <w:color w:val="1E3C36"/>
          <w:sz w:val="21"/>
        </w:rPr>
        <w:t>After closing</w:t>
      </w:r>
    </w:p>
    <w:p>
      <w:pPr>
        <w:spacing w:after="120"/>
      </w:pPr>
      <w:r>
        <w:rPr>
          <w:color w:val="2E3B38"/>
          <w:sz w:val="21"/>
        </w:rPr>
        <w:t>We'll send you a welcome letter with your loan number, where payments go, and how to request draws. Your first interest payment will be due {{FIRST_PAYMENT_DATE}}.</w:t>
      </w:r>
    </w:p>
    <w:p>
      <w:pPr>
        <w:spacing w:after="120"/>
      </w:pPr>
      <w:r>
        <w:rPr>
          <w:color w:val="2E3B38"/>
          <w:sz w:val="21"/>
        </w:rPr>
        <w:t>{{AT_CLOSING_DISBURSEMENT_NOTE}}</w:t>
      </w:r>
    </w:p>
    <w:p>
      <w:pPr>
        <w:spacing w:after="120"/>
      </w:pPr>
      <w:r>
        <w:rPr>
          <w:color w:val="2E3B38"/>
          <w:sz w:val="21"/>
        </w:rPr>
        <w:t>Anything you need before then, call me.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</w:pPr>
      <w:r>
        <w:rPr>
          <w:color w:val="2E3B38"/>
          <w:sz w:val="21"/>
        </w:rPr>
        <w:t>3400 N Central Expy #110-217, Richardson, TX 75080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{{BORROWER_FIRST_NAME}}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{{CLOSING_DATE}}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{{TITLE_COMPANY}}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{{TITLE_COMPANY_ADDRESS}}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{{CLOSER_NAME}}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{{CLOSER_PHONE}}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{{FIRST_PAYMENT_DATE}}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{{AT_CLOSING_DISBURSEMENT_NOTE}}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`{{AT_CLOSING_DISBURSEMENT_NOTE}}`</w:t>
      </w:r>
      <w:r>
        <w:rPr>
          <w:color w:val="2E3B38"/>
          <w:sz w:val="21"/>
        </w:rPr>
        <w:t xml:space="preserve"> — one line on what funds at closing versus what stays in holdback. Wording depends on the draw model decision (reimbursement vs. initial draw), so leave it flexible until that's settled.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The ID and attendance warnings are deliberate.</w:t>
      </w:r>
      <w:r>
        <w:rPr>
          <w:color w:val="2E3B38"/>
          <w:sz w:val="21"/>
        </w:rPr>
        <w:t xml:space="preserve"> Expired licenses and a principal who's out of town are the two most common reasons a closing gets pushed, and both are avoidable with a week's notice.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"Wire early"</w:t>
      </w:r>
      <w:r>
        <w:rPr>
          <w:color w:val="2E3B38"/>
          <w:sz w:val="21"/>
        </w:rPr>
        <w:t xml:space="preserve"> — worth keeping. Missed wire cutoffs cost more closings than anything else.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No dollar figures in this email.</w:t>
      </w:r>
      <w:r>
        <w:rPr>
          <w:color w:val="2E3B38"/>
          <w:sz w:val="21"/>
        </w:rPr>
        <w:t xml:space="preserve"> Every number comes from the title company's settlement statement. Quoting an estimate that differs from their final figure creates confusion at the table.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