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Times New Roman" w:cs="Times New Roman" w:eastAsia="Times New Roman" w:hAnsi="Times New Roman"/>
          <w:b/>
          <w:bCs/>
          <w:sz w:val="22"/>
          <w:szCs w:val="22"/>
        </w:rPr>
        <w:t xml:space="preserve">NOTICE OF CONFIDENTIALITY RIGHTS: IF YOU ARE A NATURAL PERSON, YOU MAY REMOVE OR STRIKE ANY OR ALL OF THE FOLLOWING INFORMATION FROM ANY INSTRUMENT THAT TRANSFERS AN INTEREST IN REAL PROPERTY BEFORE IT IS FILED FOR RECORD IN THE PUBLIC RECORDS: YOUR SOCIAL SECURITY NUMBER OR YOUR DRIVER'S LICENSE NUMBER.</w:t>
      </w:r>
    </w:p>
    <w:p>
      <w:pPr>
        <w:spacing w:after="60" w:before="0"/>
        <w:jc w:val="center"/>
      </w:pPr>
      <w:r>
        <w:rPr>
          <w:rFonts w:ascii="Times New Roman" w:cs="Times New Roman" w:eastAsia="Times New Roman" w:hAnsi="Times New Roman"/>
          <w:b/>
          <w:bCs/>
          <w:sz w:val="22"/>
          <w:szCs w:val="22"/>
          <w:u w:val="single"/>
        </w:rPr>
        <w:t xml:space="preserve">DEED OF TRUST</w:t>
      </w:r>
    </w:p>
    <w:p>
      <w:pPr>
        <w:spacing w:after="180" w:before="0"/>
        <w:jc w:val="center"/>
      </w:pPr>
      <w:r>
        <w:rPr>
          <w:rFonts w:ascii="Times New Roman" w:cs="Times New Roman" w:eastAsia="Times New Roman" w:hAnsi="Times New Roman"/>
          <w:b/>
          <w:bCs/>
          <w:sz w:val="22"/>
          <w:szCs w:val="22"/>
        </w:rPr>
        <w:t xml:space="preserve">(First Lien)</w:t>
      </w:r>
    </w:p>
    <w:p>
      <w:pPr>
        <w:spacing w:after="80" w:before="0"/>
      </w:pPr>
      <w:r>
        <w:rPr>
          <w:rFonts w:ascii="Times New Roman" w:cs="Times New Roman" w:eastAsia="Times New Roman" w:hAnsi="Times New Roman"/>
          <w:b/>
          <w:bCs/>
          <w:sz w:val="22"/>
          <w:szCs w:val="22"/>
        </w:rPr>
        <w:t xml:space="preserve">Terms</w:t>
      </w:r>
    </w:p>
    <w:p>
      <w:pPr>
        <w:spacing w:after="130" w:before="0"/>
      </w:pPr>
      <w:r>
        <w:rPr>
          <w:rFonts w:ascii="Times New Roman" w:cs="Times New Roman" w:eastAsia="Times New Roman" w:hAnsi="Times New Roman"/>
          <w:b/>
          <w:bCs/>
          <w:sz w:val="22"/>
          <w:szCs w:val="22"/>
        </w:rPr>
        <w:t>Date:  {{NOTE_DATE}}</w:t>
      </w:r>
      <w:r>
        <w:rPr>
          <w:rFonts w:ascii="Times New Roman" w:cs="Times New Roman" w:eastAsia="Times New Roman" w:hAnsi="Times New Roman"/>
          <w:sz w:val="22"/>
          <w:szCs w:val="22"/>
          <w:u w:val="single"/>
        </w:rPr>
      </w:r>
      <w:r>
        <w:rPr>
          <w:rFonts w:ascii="Times New Roman" w:cs="Times New Roman" w:eastAsia="Times New Roman" w:hAnsi="Times New Roman"/>
          <w:sz w:val="22"/>
          <w:szCs w:val="22"/>
        </w:rPr>
        <w:t xml:space="preserve"/>
      </w:r>
    </w:p>
    <w:p>
      <w:pPr>
        <w:spacing w:after="130" w:before="0"/>
      </w:pPr>
      <w:r>
        <w:rPr>
          <w:rFonts w:ascii="Times New Roman" w:cs="Times New Roman" w:eastAsia="Times New Roman" w:hAnsi="Times New Roman"/>
          <w:b/>
          <w:bCs/>
          <w:sz w:val="22"/>
          <w:szCs w:val="22"/>
        </w:rPr>
        <w:t>Grantor (Borrower):  {{BORROWER_ENTITY}}</w:t>
      </w:r>
      <w:r>
        <w:rPr>
          <w:rFonts w:ascii="Times New Roman" w:cs="Times New Roman" w:eastAsia="Times New Roman" w:hAnsi="Times New Roman"/>
          <w:sz w:val="22"/>
          <w:szCs w:val="22"/>
          <w:u w:val="single"/>
        </w:rPr>
      </w:r>
      <w:r>
        <w:rPr>
          <w:rFonts w:ascii="Times New Roman" w:cs="Times New Roman" w:eastAsia="Times New Roman" w:hAnsi="Times New Roman"/>
          <w:sz w:val="22"/>
          <w:szCs w:val="22"/>
        </w:rPr>
      </w:r>
    </w:p>
    <w:p>
      <w:pPr>
        <w:spacing w:after="130" w:before="0"/>
      </w:pPr>
      <w:r>
        <w:rPr>
          <w:rFonts w:ascii="Times New Roman" w:cs="Times New Roman" w:eastAsia="Times New Roman" w:hAnsi="Times New Roman"/>
          <w:b/>
          <w:bCs/>
          <w:sz w:val="22"/>
          <w:szCs w:val="22"/>
        </w:rPr>
        <w:t>Grantor's Mailing Address:  {{BORROWER_ADDRESS}}</w:t>
      </w:r>
      <w:r>
        <w:rPr>
          <w:rFonts w:ascii="Times New Roman" w:cs="Times New Roman" w:eastAsia="Times New Roman" w:hAnsi="Times New Roman"/>
          <w:sz w:val="22"/>
          <w:szCs w:val="22"/>
          <w:u w:val="single"/>
        </w:rPr>
      </w:r>
      <w:r>
        <w:rPr>
          <w:rFonts w:ascii="Times New Roman" w:cs="Times New Roman" w:eastAsia="Times New Roman" w:hAnsi="Times New Roman"/>
          <w:sz w:val="22"/>
          <w:szCs w:val="22"/>
        </w:rPr>
        <w:t xml:space="preserve"/>
      </w:r>
    </w:p>
    <w:p>
      <w:pPr>
        <w:spacing w:after="130" w:before="0"/>
      </w:pPr>
      <w:r>
        <w:rPr>
          <w:rFonts w:ascii="Times New Roman" w:cs="Times New Roman" w:eastAsia="Times New Roman" w:hAnsi="Times New Roman"/>
          <w:b/>
          <w:bCs/>
          <w:sz w:val="22"/>
          <w:szCs w:val="22"/>
        </w:rPr>
        <w:t xml:space="preserve">Trustee:  </w:t>
      </w:r>
      <w:r>
        <w:rPr>
          <w:rFonts w:ascii="Times New Roman" w:cs="Times New Roman" w:eastAsia="Times New Roman" w:hAnsi="Times New Roman"/>
          <w:sz w:val="22"/>
          <w:szCs w:val="22"/>
        </w:rPr>
        <w:t xml:space="preserve">Robert Roberts</w:t>
      </w:r>
    </w:p>
    <w:p>
      <w:pPr>
        <w:spacing w:after="130" w:before="0"/>
      </w:pPr>
      <w:r>
        <w:rPr>
          <w:rFonts w:ascii="Times New Roman" w:cs="Times New Roman" w:eastAsia="Times New Roman" w:hAnsi="Times New Roman"/>
          <w:b/>
          <w:bCs/>
          <w:sz w:val="22"/>
          <w:szCs w:val="22"/>
        </w:rPr>
        <w:t xml:space="preserve">Trustee's Mailing Address:  </w:t>
      </w:r>
      <w:r>
        <w:rPr>
          <w:rFonts w:ascii="Times New Roman" w:cs="Times New Roman" w:eastAsia="Times New Roman" w:hAnsi="Times New Roman"/>
          <w:sz w:val="22"/>
          <w:szCs w:val="22"/>
        </w:rPr>
        <w:t xml:space="preserve">700 Ascot Dr, Euless, TX 76040-5548</w:t>
      </w:r>
    </w:p>
    <w:p>
      <w:pPr>
        <w:spacing w:after="130" w:before="0"/>
      </w:pPr>
      <w:r>
        <w:rPr>
          <w:rFonts w:ascii="Times New Roman" w:cs="Times New Roman" w:eastAsia="Times New Roman" w:hAnsi="Times New Roman"/>
          <w:b/>
          <w:bCs/>
          <w:sz w:val="22"/>
          <w:szCs w:val="22"/>
        </w:rPr>
        <w:t xml:space="preserve">Lender:  </w:t>
      </w:r>
      <w:r>
        <w:rPr>
          <w:rFonts w:ascii="Times New Roman" w:cs="Times New Roman" w:eastAsia="Times New Roman" w:hAnsi="Times New Roman"/>
          <w:sz w:val="22"/>
          <w:szCs w:val="22"/>
        </w:rPr>
        <w:t xml:space="preserve">Lazy Dog Capital LLC</w:t>
      </w:r>
    </w:p>
    <w:p>
      <w:pPr>
        <w:spacing w:after="130" w:before="0"/>
      </w:pPr>
      <w:r>
        <w:rPr>
          <w:rFonts w:ascii="Times New Roman" w:cs="Times New Roman" w:eastAsia="Times New Roman" w:hAnsi="Times New Roman"/>
          <w:b/>
          <w:bCs/>
          <w:sz w:val="22"/>
          <w:szCs w:val="22"/>
        </w:rPr>
        <w:t xml:space="preserve">Lender's Mailing Address:  </w:t>
      </w:r>
      <w:r>
        <w:rPr>
          <w:rFonts w:ascii="Times New Roman" w:cs="Times New Roman" w:eastAsia="Times New Roman" w:hAnsi="Times New Roman"/>
          <w:sz w:val="22"/>
          <w:szCs w:val="22"/>
        </w:rPr>
        <w:t xml:space="preserve">3400 N Central Expy #110-217, Richardson, TX 75080</w:t>
      </w:r>
    </w:p>
    <w:p>
      <w:pPr>
        <w:spacing w:after="80" w:before="190"/>
      </w:pPr>
      <w:r>
        <w:rPr>
          <w:rFonts w:ascii="Times New Roman" w:cs="Times New Roman" w:eastAsia="Times New Roman" w:hAnsi="Times New Roman"/>
          <w:b/>
          <w:bCs/>
          <w:sz w:val="22"/>
          <w:szCs w:val="22"/>
        </w:rPr>
        <w:t xml:space="preserve">Obligation</w:t>
      </w:r>
    </w:p>
    <w:p>
      <w:pPr>
        <w:spacing w:after="80" w:before="0"/>
        <w:ind w:left="360"/>
      </w:pPr>
      <w:r>
        <w:rPr>
          <w:rFonts w:ascii="Times New Roman" w:cs="Times New Roman" w:eastAsia="Times New Roman" w:hAnsi="Times New Roman"/>
          <w:b/>
          <w:bCs/>
          <w:sz w:val="22"/>
          <w:szCs w:val="22"/>
        </w:rPr>
        <w:t xml:space="preserve">Note</w:t>
      </w:r>
    </w:p>
    <w:p>
      <w:pPr>
        <w:spacing w:after="130" w:before="0"/>
        <w:ind w:left="720"/>
      </w:pPr>
      <w:r>
        <w:rPr>
          <w:rFonts w:ascii="Times New Roman" w:cs="Times New Roman" w:eastAsia="Times New Roman" w:hAnsi="Times New Roman"/>
          <w:b/>
          <w:bCs/>
          <w:sz w:val="22"/>
          <w:szCs w:val="22"/>
        </w:rPr>
        <w:t>Date:  {{NOTE_DATE}}</w:t>
      </w:r>
      <w:r>
        <w:rPr>
          <w:rFonts w:ascii="Times New Roman" w:cs="Times New Roman" w:eastAsia="Times New Roman" w:hAnsi="Times New Roman"/>
          <w:sz w:val="22"/>
          <w:szCs w:val="22"/>
          <w:u w:val="single"/>
        </w:rPr>
      </w:r>
    </w:p>
    <w:p>
      <w:pPr>
        <w:spacing w:after="130" w:before="0"/>
        <w:ind w:left="720"/>
      </w:pPr>
      <w:r>
        <w:rPr>
          <w:rFonts w:ascii="Times New Roman" w:cs="Times New Roman" w:eastAsia="Times New Roman" w:hAnsi="Times New Roman"/>
          <w:b/>
          <w:bCs/>
          <w:sz w:val="22"/>
          <w:szCs w:val="22"/>
        </w:rPr>
        <w:t xml:space="preserve">Original principal amount:  </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u w:val="single"/>
        </w:rPr>
        <w:t>{{LOAN_AMOUNT}}</w:t>
      </w:r>
    </w:p>
    <w:p>
      <w:pPr>
        <w:spacing w:after="130" w:before="0"/>
        <w:ind w:left="720"/>
      </w:pPr>
      <w:r>
        <w:rPr>
          <w:rFonts w:ascii="Times New Roman" w:cs="Times New Roman" w:eastAsia="Times New Roman" w:hAnsi="Times New Roman"/>
          <w:b/>
          <w:bCs/>
          <w:sz w:val="22"/>
          <w:szCs w:val="22"/>
        </w:rPr>
        <w:t xml:space="preserve">Borrower:  </w:t>
      </w:r>
      <w:r>
        <w:rPr>
          <w:rFonts w:ascii="Times New Roman" w:cs="Times New Roman" w:eastAsia="Times New Roman" w:hAnsi="Times New Roman"/>
          <w:sz w:val="22"/>
          <w:szCs w:val="22"/>
          <w:u w:val="single"/>
        </w:rPr>
        <w:t xml:space="preserve">                                    {{BORROWER_ENTITY}}</w:t>
      </w:r>
      <w:r>
        <w:rPr>
          <w:rFonts w:ascii="Times New Roman" w:cs="Times New Roman" w:eastAsia="Times New Roman" w:hAnsi="Times New Roman"/>
          <w:sz w:val="22"/>
          <w:szCs w:val="22"/>
        </w:rPr>
      </w:r>
    </w:p>
    <w:p>
      <w:pPr>
        <w:spacing w:after="130" w:before="0"/>
        <w:ind w:left="720"/>
      </w:pPr>
      <w:r>
        <w:rPr>
          <w:rFonts w:ascii="Times New Roman" w:cs="Times New Roman" w:eastAsia="Times New Roman" w:hAnsi="Times New Roman"/>
          <w:b/>
          <w:bCs/>
          <w:sz w:val="22"/>
          <w:szCs w:val="22"/>
        </w:rPr>
        <w:t xml:space="preserve">Lender:  </w:t>
      </w:r>
      <w:r>
        <w:rPr>
          <w:rFonts w:ascii="Times New Roman" w:cs="Times New Roman" w:eastAsia="Times New Roman" w:hAnsi="Times New Roman"/>
          <w:sz w:val="22"/>
          <w:szCs w:val="22"/>
        </w:rPr>
        <w:t xml:space="preserve">Lazy Dog Capital LLC</w:t>
      </w:r>
    </w:p>
    <w:p>
      <w:pPr>
        <w:spacing w:after="130" w:before="0"/>
        <w:ind w:left="720"/>
      </w:pPr>
      <w:r>
        <w:rPr>
          <w:rFonts w:ascii="Times New Roman" w:cs="Times New Roman" w:eastAsia="Times New Roman" w:hAnsi="Times New Roman"/>
          <w:b/>
          <w:bCs/>
          <w:sz w:val="22"/>
          <w:szCs w:val="22"/>
        </w:rPr>
        <w:t>Maturity date:  {{MATURITY_DATE}}</w:t>
      </w:r>
      <w:r>
        <w:rPr>
          <w:rFonts w:ascii="Times New Roman" w:cs="Times New Roman" w:eastAsia="Times New Roman" w:hAnsi="Times New Roman"/>
          <w:sz w:val="22"/>
          <w:szCs w:val="22"/>
          <w:u w:val="single"/>
        </w:rPr>
      </w:r>
    </w:p>
    <w:p>
      <w:pPr>
        <w:spacing w:after="130" w:before="0"/>
        <w:ind w:left="720"/>
      </w:pPr>
      <w:r>
        <w:rPr>
          <w:rFonts w:ascii="Times New Roman" w:cs="Times New Roman" w:eastAsia="Times New Roman" w:hAnsi="Times New Roman"/>
          <w:b/>
          <w:bCs/>
          <w:sz w:val="22"/>
          <w:szCs w:val="22"/>
        </w:rPr>
        <w:t xml:space="preserve">Terms of Payment:  </w:t>
      </w:r>
      <w:r>
        <w:rPr>
          <w:rFonts w:ascii="Times New Roman" w:cs="Times New Roman" w:eastAsia="Times New Roman" w:hAnsi="Times New Roman"/>
          <w:sz w:val="22"/>
          <w:szCs w:val="22"/>
        </w:rPr>
        <w:t xml:space="preserve">As provided in the note.</w:t>
      </w:r>
    </w:p>
    <w:p>
      <w:pPr>
        <w:spacing w:after="130" w:before="0"/>
      </w:pPr>
      <w:r>
        <w:rPr>
          <w:rFonts w:ascii="Times New Roman" w:cs="Times New Roman" w:eastAsia="Times New Roman" w:hAnsi="Times New Roman"/>
          <w:b/>
          <w:bCs/>
          <w:sz w:val="22"/>
          <w:szCs w:val="22"/>
        </w:rPr>
        <w:t xml:space="preserve">Other Debt:  </w:t>
      </w:r>
      <w:r>
        <w:rPr>
          <w:rFonts w:ascii="Times New Roman" w:cs="Times New Roman" w:eastAsia="Times New Roman" w:hAnsi="Times New Roman"/>
          <w:sz w:val="22"/>
          <w:szCs w:val="22"/>
        </w:rPr>
        <w:t xml:space="preserve">This deed of trust also secures payment of any debt that Grantors may subsequently owe to Lender and that arises while Grantors own the Property.</w:t>
      </w:r>
    </w:p>
    <w:p>
      <w:pPr>
        <w:spacing w:after="80" w:before="190"/>
      </w:pPr>
      <w:r>
        <w:rPr>
          <w:rFonts w:ascii="Times New Roman" w:cs="Times New Roman" w:eastAsia="Times New Roman" w:hAnsi="Times New Roman"/>
          <w:b/>
          <w:bCs/>
          <w:sz w:val="22"/>
          <w:szCs w:val="22"/>
        </w:rPr>
        <w:t xml:space="preserve">Property (including any improvements):</w:t>
      </w:r>
    </w:p>
    <w:p>
      <w:pPr>
        <w:spacing w:after="100" w:before="0"/>
        <w:ind w:left="360"/>
      </w:pPr>
      <w:r>
        <w:rPr>
          <w:rFonts w:ascii="Times New Roman" w:cs="Times New Roman" w:eastAsia="Times New Roman" w:hAnsi="Times New Roman"/>
          <w:sz w:val="22"/>
          <w:szCs w:val="22"/>
        </w:rPr>
        <w:t>{{LEGAL_DESC_1}}</w:t>
      </w:r>
    </w:p>
    <w:p>
      <w:pPr>
        <w:spacing w:after="100" w:before="0"/>
        <w:ind w:left="360"/>
      </w:pPr>
      <w:r>
        <w:rPr>
          <w:rFonts w:ascii="Times New Roman" w:cs="Times New Roman" w:eastAsia="Times New Roman" w:hAnsi="Times New Roman"/>
          <w:sz w:val="22"/>
          <w:szCs w:val="22"/>
        </w:rPr>
        <w:t>{{LEGAL_DESC_2}}</w:t>
      </w:r>
    </w:p>
    <w:p>
      <w:pPr>
        <w:spacing w:after="100" w:before="0"/>
        <w:ind w:left="360"/>
      </w:pPr>
      <w:r>
        <w:rPr>
          <w:rFonts w:ascii="Times New Roman" w:cs="Times New Roman" w:eastAsia="Times New Roman" w:hAnsi="Times New Roman"/>
          <w:sz w:val="22"/>
          <w:szCs w:val="22"/>
        </w:rPr>
        <w:t>{{LEGAL_DESC_3}}</w:t>
      </w:r>
    </w:p>
    <w:p>
      <w:pPr>
        <w:spacing w:after="130" w:before="0"/>
        <w:ind w:left="360"/>
      </w:pPr>
      <w:r>
        <w:rPr>
          <w:rFonts w:ascii="Times New Roman" w:cs="Times New Roman" w:eastAsia="Times New Roman" w:hAnsi="Times New Roman"/>
          <w:sz w:val="22"/>
          <w:szCs w:val="22"/>
        </w:rPr>
        <w:t xml:space="preserve">(Commonly known as: “</w:t>
      </w:r>
      <w:r>
        <w:rPr>
          <w:rFonts w:ascii="Times New Roman" w:cs="Times New Roman" w:eastAsia="Times New Roman" w:hAnsi="Times New Roman"/>
          <w:sz w:val="22"/>
          <w:szCs w:val="22"/>
          <w:u w:val="single"/>
        </w:rPr>
        <w:t>{{PROPERTY_ADDRESS}}</w:t>
      </w:r>
      <w:r>
        <w:rPr>
          <w:rFonts w:ascii="Times New Roman" w:cs="Times New Roman" w:eastAsia="Times New Roman" w:hAnsi="Times New Roman"/>
          <w:sz w:val="22"/>
          <w:szCs w:val="22"/>
        </w:rPr>
        <w:t xml:space="preserve">”).</w:t>
      </w:r>
    </w:p>
    <w:p>
      <w:pPr>
        <w:spacing w:after="130" w:before="0"/>
      </w:pPr>
      <w:r>
        <w:rPr>
          <w:rFonts w:ascii="Times New Roman" w:cs="Times New Roman" w:eastAsia="Times New Roman" w:hAnsi="Times New Roman"/>
          <w:b/>
          <w:bCs/>
          <w:sz w:val="22"/>
          <w:szCs w:val="22"/>
        </w:rPr>
        <w:t xml:space="preserve">Prior Lien:  </w:t>
      </w:r>
      <w:r>
        <w:rPr>
          <w:rFonts w:ascii="Times New Roman" w:cs="Times New Roman" w:eastAsia="Times New Roman" w:hAnsi="Times New Roman"/>
          <w:sz w:val="22"/>
          <w:szCs w:val="22"/>
        </w:rPr>
        <w:t xml:space="preserve">None.</w:t>
      </w:r>
    </w:p>
    <w:p>
      <w:pPr>
        <w:spacing w:after="80" w:before="190"/>
      </w:pPr>
      <w:r>
        <w:rPr>
          <w:rFonts w:ascii="Times New Roman" w:cs="Times New Roman" w:eastAsia="Times New Roman" w:hAnsi="Times New Roman"/>
          <w:b/>
          <w:bCs/>
          <w:sz w:val="22"/>
          <w:szCs w:val="22"/>
        </w:rPr>
        <w:t xml:space="preserve">Other Exceptions to Conveyance and Warranty:</w:t>
      </w:r>
    </w:p>
    <w:p>
      <w:pPr>
        <w:spacing w:after="130" w:before="0"/>
      </w:pPr>
      <w:r>
        <w:rPr>
          <w:rFonts w:ascii="Times New Roman" w:cs="Times New Roman" w:eastAsia="Times New Roman" w:hAnsi="Times New Roman"/>
          <w:sz w:val="22"/>
          <w:szCs w:val="22"/>
        </w:rPr>
        <w:t>Liens described as part of the Consideration and any other liens described in the deed to Grantors as being either assumed or subject to which title is taken; validly existing easements, rights-of-way, and prescriptive rights, whether of record or not; all presently recorded and validly existing instruments, other than conveyances of the surface fee estate, that affect the Property; and taxes for {{TAX_YEAR}}</w:t>
      </w:r>
      <w:r>
        <w:rPr>
          <w:rFonts w:ascii="Times New Roman" w:cs="Times New Roman" w:eastAsia="Times New Roman" w:hAnsi="Times New Roman"/>
          <w:sz w:val="22"/>
          <w:szCs w:val="22"/>
          <w:u w:val="single"/>
        </w:rPr>
      </w:r>
      <w:r>
        <w:rPr>
          <w:rFonts w:ascii="Times New Roman" w:cs="Times New Roman" w:eastAsia="Times New Roman" w:hAnsi="Times New Roman"/>
          <w:sz w:val="22"/>
          <w:szCs w:val="22"/>
        </w:rPr>
        <w:t xml:space="preserve">, and subsequent assessments for that and prior years due to change in land usage, ownership, or both.</w:t>
      </w:r>
    </w:p>
    <w:p>
      <w:pPr>
        <w:spacing w:after="130" w:before="0"/>
      </w:pPr>
      <w:r>
        <w:rPr>
          <w:rFonts w:ascii="Times New Roman" w:cs="Times New Roman" w:eastAsia="Times New Roman" w:hAnsi="Times New Roman"/>
          <w:sz w:val="22"/>
          <w:szCs w:val="22"/>
        </w:rPr>
        <w:t xml:space="preserve">For value received and to secure payment of the Obligation, Grantors convey the Property to Trustee in trust. Grantors warrant and agree to defend the title to the Property, subject to the Other Exceptions to Conveyance and Warranty. On payment of the Obligation and all other amounts secured by this deed of trust, this deed of trust will have no further effect, and Lender will release it at Grantors' expense.</w:t>
      </w:r>
    </w:p>
    <w:p>
      <w:pPr>
        <w:spacing w:after="80" w:before="190"/>
      </w:pPr>
      <w:r>
        <w:rPr>
          <w:rFonts w:ascii="Times New Roman" w:cs="Times New Roman" w:eastAsia="Times New Roman" w:hAnsi="Times New Roman"/>
          <w:b/>
          <w:bCs/>
          <w:sz w:val="22"/>
          <w:szCs w:val="22"/>
        </w:rPr>
        <w:t xml:space="preserve">Clauses and Covenants</w:t>
      </w:r>
    </w:p>
    <w:p>
      <w:pPr>
        <w:spacing w:after="80" w:before="0"/>
      </w:pPr>
      <w:r>
        <w:rPr>
          <w:rFonts w:ascii="Times New Roman" w:cs="Times New Roman" w:eastAsia="Times New Roman" w:hAnsi="Times New Roman"/>
          <w:b/>
          <w:bCs/>
          <w:sz w:val="22"/>
          <w:szCs w:val="22"/>
        </w:rPr>
        <w:t xml:space="preserve">A.  Grantors' Obligations</w:t>
      </w:r>
    </w:p>
    <w:p>
      <w:pPr>
        <w:spacing w:after="130" w:before="0"/>
      </w:pPr>
      <w:r>
        <w:rPr>
          <w:rFonts w:ascii="Times New Roman" w:cs="Times New Roman" w:eastAsia="Times New Roman" w:hAnsi="Times New Roman"/>
          <w:sz w:val="22"/>
          <w:szCs w:val="22"/>
        </w:rPr>
        <w:t xml:space="preserve">Grantors agree to—</w:t>
      </w:r>
    </w:p>
    <w:p>
      <w:pPr>
        <w:spacing w:after="100"/>
        <w:ind w:left="400" w:hanging="400"/>
      </w:pPr>
      <w:r>
        <w:rPr>
          <w:rFonts w:ascii="Times New Roman" w:cs="Times New Roman" w:eastAsia="Times New Roman" w:hAnsi="Times New Roman"/>
          <w:sz w:val="22"/>
          <w:szCs w:val="22"/>
        </w:rPr>
        <w:t xml:space="preserve">1.  keep the Property in good repair and condition;</w:t>
      </w:r>
    </w:p>
    <w:p>
      <w:pPr>
        <w:spacing w:after="100"/>
        <w:ind w:left="400" w:hanging="400"/>
      </w:pPr>
      <w:r>
        <w:rPr>
          <w:rFonts w:ascii="Times New Roman" w:cs="Times New Roman" w:eastAsia="Times New Roman" w:hAnsi="Times New Roman"/>
          <w:sz w:val="22"/>
          <w:szCs w:val="22"/>
        </w:rPr>
        <w:t xml:space="preserve">2.  pay all taxes and assessments on the Property before delinquency, not authorize a taxing entity to transfer its tax lien on the Property to anyone other than Lender, and not request a deferral of the collection of taxes pursuant to section 33.06 of the Texas Tax Code;</w:t>
      </w:r>
    </w:p>
    <w:p>
      <w:pPr>
        <w:spacing w:after="100"/>
        <w:ind w:left="400" w:hanging="400"/>
      </w:pPr>
      <w:r>
        <w:rPr>
          <w:rFonts w:ascii="Times New Roman" w:cs="Times New Roman" w:eastAsia="Times New Roman" w:hAnsi="Times New Roman"/>
          <w:sz w:val="22"/>
          <w:szCs w:val="22"/>
        </w:rPr>
        <w:t xml:space="preserve">3.  defend title to the Property subject to the Other Exceptions to Conveyance and Warranty and preserve the lien's priority as it is established in this deed of trust;</w:t>
      </w:r>
    </w:p>
    <w:p>
      <w:pPr>
        <w:spacing w:after="100"/>
        <w:ind w:left="400" w:hanging="400"/>
      </w:pPr>
      <w:r>
        <w:rPr>
          <w:rFonts w:ascii="Times New Roman" w:cs="Times New Roman" w:eastAsia="Times New Roman" w:hAnsi="Times New Roman"/>
          <w:sz w:val="22"/>
          <w:szCs w:val="22"/>
        </w:rPr>
        <w:t xml:space="preserve">4.  maintain all insurance coverages with respect to the Property, revenues generated by the Property, and operations on the Property that Lender reasonably requires (“Required Insurance Coverages”), issued by insurers and written on policy forms acceptable to Lender, and deliver evidence of the Required Insurance Coverages in a form acceptable to Lender at least ten days before the expiration of the Required Insurance Coverages;</w:t>
      </w:r>
    </w:p>
    <w:p>
      <w:pPr>
        <w:spacing w:after="100"/>
        <w:ind w:left="760" w:hanging="360"/>
      </w:pPr>
      <w:r>
        <w:rPr>
          <w:rFonts w:ascii="Times New Roman" w:cs="Times New Roman" w:eastAsia="Times New Roman" w:hAnsi="Times New Roman"/>
          <w:sz w:val="22"/>
          <w:szCs w:val="22"/>
        </w:rPr>
        <w:t xml:space="preserve">4a.  Required Insurance Coverages shall include, at minimum, an all-risk property insurance policy (including builder's risk coverage during any period of construction or renovation) covering the improvements on the Property in an amount not less than $</w:t>
      </w:r>
      <w:r>
        <w:rPr>
          <w:rFonts w:ascii="Times New Roman" w:cs="Times New Roman" w:eastAsia="Times New Roman" w:hAnsi="Times New Roman"/>
          <w:sz w:val="22"/>
          <w:szCs w:val="22"/>
          <w:u w:val="single"/>
        </w:rPr>
        <w:t>{{INSURANCE_AMOUNT}}</w:t>
      </w:r>
      <w:r>
        <w:rPr>
          <w:rFonts w:ascii="Times New Roman" w:cs="Times New Roman" w:eastAsia="Times New Roman" w:hAnsi="Times New Roman"/>
          <w:sz w:val="22"/>
          <w:szCs w:val="22"/>
        </w:rPr>
        <w:t xml:space="preserve">, with Lazy Dog Capital LLC named as mortgagee and loss payee. Grantors shall provide Lender with a certificate of insurance evidencing such coverage prior to or at closing and at each policy renewal thereafter. If Grantors fail to maintain the Required Insurance Coverages, Lender may, at Lender's option, obtain such insurance at Grantors' expense, and the cost thereof shall be secured by this deed of trust and bear interest at the rate stated in the Note for matured, unpaid amounts.</w:t>
      </w:r>
    </w:p>
    <w:p>
      <w:pPr>
        <w:spacing w:after="100"/>
        <w:ind w:left="400" w:hanging="400"/>
      </w:pPr>
      <w:r>
        <w:rPr>
          <w:rFonts w:ascii="Times New Roman" w:cs="Times New Roman" w:eastAsia="Times New Roman" w:hAnsi="Times New Roman"/>
          <w:sz w:val="22"/>
          <w:szCs w:val="22"/>
        </w:rPr>
        <w:t xml:space="preserve">5.  obey all laws, ordinances, and restrictive covenants applicable to the Property;</w:t>
      </w:r>
    </w:p>
    <w:p>
      <w:pPr>
        <w:spacing w:after="100"/>
        <w:ind w:left="400" w:hanging="400"/>
      </w:pPr>
      <w:r>
        <w:rPr>
          <w:rFonts w:ascii="Times New Roman" w:cs="Times New Roman" w:eastAsia="Times New Roman" w:hAnsi="Times New Roman"/>
          <w:sz w:val="22"/>
          <w:szCs w:val="22"/>
        </w:rPr>
        <w:t xml:space="preserve">6.  keep any buildings occupied as required by the Required Insurance Coverages;</w:t>
      </w:r>
    </w:p>
    <w:p>
      <w:pPr>
        <w:spacing w:after="100"/>
        <w:ind w:left="400" w:hanging="400"/>
      </w:pPr>
      <w:r>
        <w:rPr>
          <w:rFonts w:ascii="Times New Roman" w:cs="Times New Roman" w:eastAsia="Times New Roman" w:hAnsi="Times New Roman"/>
          <w:sz w:val="22"/>
          <w:szCs w:val="22"/>
        </w:rPr>
        <w:t xml:space="preserve">7.  if the lien of this deed of trust is not a first lien, pay or cause to be paid all prior lien notes and abide by or cause to be abided by all prior lien instruments; and</w:t>
      </w:r>
    </w:p>
    <w:p>
      <w:pPr>
        <w:spacing w:after="100"/>
        <w:ind w:left="400" w:hanging="400"/>
      </w:pPr>
      <w:r>
        <w:rPr>
          <w:rFonts w:ascii="Times New Roman" w:cs="Times New Roman" w:eastAsia="Times New Roman" w:hAnsi="Times New Roman"/>
          <w:sz w:val="22"/>
          <w:szCs w:val="22"/>
        </w:rPr>
        <w:t xml:space="preserve">8.  notify Lender of any change of address.</w:t>
      </w:r>
    </w:p>
    <w:p>
      <w:pPr>
        <w:spacing w:after="80" w:before="160"/>
      </w:pPr>
      <w:r>
        <w:rPr>
          <w:rFonts w:ascii="Times New Roman" w:cs="Times New Roman" w:eastAsia="Times New Roman" w:hAnsi="Times New Roman"/>
          <w:b/>
          <w:bCs/>
          <w:sz w:val="22"/>
          <w:szCs w:val="22"/>
        </w:rPr>
        <w:t xml:space="preserve">B.  Lender's Rights</w:t>
      </w:r>
    </w:p>
    <w:p>
      <w:pPr>
        <w:spacing w:after="100"/>
        <w:ind w:left="400" w:hanging="400"/>
      </w:pPr>
      <w:r>
        <w:rPr>
          <w:rFonts w:ascii="Times New Roman" w:cs="Times New Roman" w:eastAsia="Times New Roman" w:hAnsi="Times New Roman"/>
          <w:sz w:val="22"/>
          <w:szCs w:val="22"/>
        </w:rPr>
        <w:t xml:space="preserve">1.  Lender or Lender's mortgage servicer may appoint in writing one or more substitute trustees, succeeding to all rights and responsibilities of Trustee.</w:t>
      </w:r>
    </w:p>
    <w:p>
      <w:pPr>
        <w:spacing w:after="100"/>
        <w:ind w:left="400" w:hanging="400"/>
      </w:pPr>
      <w:r>
        <w:rPr>
          <w:rFonts w:ascii="Times New Roman" w:cs="Times New Roman" w:eastAsia="Times New Roman" w:hAnsi="Times New Roman"/>
          <w:sz w:val="22"/>
          <w:szCs w:val="22"/>
        </w:rPr>
        <w:t xml:space="preserve">2.  If the proceeds of the Obligation are used to pay any debt secured by prior liens, Lender is subrogated to all the rights and liens of the holders of any debt so paid.</w:t>
      </w:r>
    </w:p>
    <w:p>
      <w:pPr>
        <w:spacing w:after="100"/>
        <w:ind w:left="400" w:hanging="400"/>
      </w:pPr>
      <w:r>
        <w:rPr>
          <w:rFonts w:ascii="Times New Roman" w:cs="Times New Roman" w:eastAsia="Times New Roman" w:hAnsi="Times New Roman"/>
          <w:sz w:val="22"/>
          <w:szCs w:val="22"/>
        </w:rPr>
        <w:t xml:space="preserve">3.  Lender may apply any proceeds received under the property insurance policies covering the Property either to reduce the Obligation or to repair or replace damaged or destroyed improvements covered by the policy.</w:t>
      </w:r>
    </w:p>
    <w:p>
      <w:pPr>
        <w:spacing w:after="100"/>
        <w:ind w:left="400" w:hanging="400"/>
      </w:pPr>
      <w:r>
        <w:rPr>
          <w:rFonts w:ascii="Times New Roman" w:cs="Times New Roman" w:eastAsia="Times New Roman" w:hAnsi="Times New Roman"/>
          <w:sz w:val="22"/>
          <w:szCs w:val="22"/>
        </w:rPr>
        <w:t xml:space="preserve">4.  Notwithstanding the terms of the Note to the contrary, and unless applicable law prohibits, all payments received by Lender from Grantors with respect to the Obligation or this deed of trust may, at Lender's discretion, be applied first to amounts payable under this deed of trust and then to amounts due and payable to Lender with respect to the Obligation, to be applied to late charges, principal, or interest in the order Lender in its discretion determines.</w:t>
      </w:r>
    </w:p>
    <w:p>
      <w:pPr>
        <w:spacing w:after="100"/>
        <w:ind w:left="400" w:hanging="400"/>
      </w:pPr>
      <w:r>
        <w:rPr>
          <w:rFonts w:ascii="Times New Roman" w:cs="Times New Roman" w:eastAsia="Times New Roman" w:hAnsi="Times New Roman"/>
          <w:sz w:val="22"/>
          <w:szCs w:val="22"/>
        </w:rPr>
        <w:t xml:space="preserve">5.  If Grantors fail to perform any of Grantors' obligations, Lender may perform those obligations and be reimbursed by Grantors on demand for any amounts so paid, including attorney's fees, plus interest on those amounts from the dates of payment at the rate stated in the Note for matured, unpaid amounts. The amount to be reimbursed will be secured by this deed of trust.</w:t>
      </w:r>
    </w:p>
    <w:p>
      <w:pPr>
        <w:spacing w:after="100"/>
        <w:ind w:left="400" w:hanging="400"/>
      </w:pPr>
      <w:r>
        <w:rPr>
          <w:rFonts w:ascii="Times New Roman" w:cs="Times New Roman" w:eastAsia="Times New Roman" w:hAnsi="Times New Roman"/>
          <w:sz w:val="22"/>
          <w:szCs w:val="22"/>
        </w:rPr>
        <w:t xml:space="preserve">6.  Lender may sell, transfer, pledge, or collaterally assign the Note and this deed of trust, in whole or in part, without Grantors' consent, and any assignee or servicer designated by Lender in writing shall be entitled to exercise Lender's rights under this deed of trust.</w:t>
      </w:r>
    </w:p>
    <w:p>
      <w:pPr>
        <w:spacing w:after="100"/>
        <w:ind w:left="400" w:hanging="400"/>
      </w:pPr>
      <w:r>
        <w:rPr>
          <w:rFonts w:ascii="Times New Roman" w:cs="Times New Roman" w:eastAsia="Times New Roman" w:hAnsi="Times New Roman"/>
          <w:sz w:val="22"/>
          <w:szCs w:val="22"/>
        </w:rPr>
        <w:t xml:space="preserve">7.  If a default exists in payment of the Obligation or performance of Grantors' obligations and the default continues after any required notice of the default and the time allowed to cure, Lender may—</w:t>
      </w:r>
    </w:p>
    <w:p>
      <w:pPr>
        <w:spacing w:after="90"/>
        <w:ind w:left="1120" w:hanging="340"/>
      </w:pPr>
      <w:r>
        <w:rPr>
          <w:rFonts w:ascii="Times New Roman" w:cs="Times New Roman" w:eastAsia="Times New Roman" w:hAnsi="Times New Roman"/>
          <w:sz w:val="22"/>
          <w:szCs w:val="22"/>
        </w:rPr>
        <w:t xml:space="preserve">a.  declare the unpaid principal balance and earned interest on the Obligation immediately due;</w:t>
      </w:r>
    </w:p>
    <w:p>
      <w:pPr>
        <w:spacing w:after="90"/>
        <w:ind w:left="1120" w:hanging="340"/>
      </w:pPr>
      <w:r>
        <w:rPr>
          <w:rFonts w:ascii="Times New Roman" w:cs="Times New Roman" w:eastAsia="Times New Roman" w:hAnsi="Times New Roman"/>
          <w:sz w:val="22"/>
          <w:szCs w:val="22"/>
        </w:rPr>
        <w:t xml:space="preserve">b.  exercise Lender's rights with respect to rent under the Texas Property Code as then in effect;</w:t>
      </w:r>
    </w:p>
    <w:p>
      <w:pPr>
        <w:spacing w:after="90"/>
        <w:ind w:left="1120" w:hanging="340"/>
      </w:pPr>
      <w:r>
        <w:rPr>
          <w:rFonts w:ascii="Times New Roman" w:cs="Times New Roman" w:eastAsia="Times New Roman" w:hAnsi="Times New Roman"/>
          <w:sz w:val="22"/>
          <w:szCs w:val="22"/>
        </w:rPr>
        <w:t xml:space="preserve">c.  direct Trustee to foreclose this lien, in which case Lender or Lender's agent will cause notice of the foreclosure sale to be given as provided by the Texas Property Code as then in effect; and</w:t>
      </w:r>
    </w:p>
    <w:p>
      <w:pPr>
        <w:spacing w:after="90"/>
        <w:ind w:left="1120" w:hanging="340"/>
      </w:pPr>
      <w:r>
        <w:rPr>
          <w:rFonts w:ascii="Times New Roman" w:cs="Times New Roman" w:eastAsia="Times New Roman" w:hAnsi="Times New Roman"/>
          <w:sz w:val="22"/>
          <w:szCs w:val="22"/>
        </w:rPr>
        <w:t xml:space="preserve">d.  purchase the Property at any foreclosure sale by offering the highest bid and then have the bid credited on the Obligation.</w:t>
      </w:r>
    </w:p>
    <w:p>
      <w:pPr>
        <w:spacing w:after="100"/>
        <w:ind w:left="400" w:hanging="400"/>
      </w:pPr>
      <w:r>
        <w:rPr>
          <w:rFonts w:ascii="Times New Roman" w:cs="Times New Roman" w:eastAsia="Times New Roman" w:hAnsi="Times New Roman"/>
          <w:sz w:val="22"/>
          <w:szCs w:val="22"/>
        </w:rPr>
        <w:t xml:space="preserve">8.  Lender may remedy any default without waiving it and may waive any default without waiving any prior or subsequent default.</w:t>
      </w:r>
    </w:p>
    <w:p>
      <w:pPr>
        <w:spacing w:after="80" w:before="160"/>
      </w:pPr>
      <w:r>
        <w:rPr>
          <w:rFonts w:ascii="Times New Roman" w:cs="Times New Roman" w:eastAsia="Times New Roman" w:hAnsi="Times New Roman"/>
          <w:b/>
          <w:bCs/>
          <w:sz w:val="22"/>
          <w:szCs w:val="22"/>
        </w:rPr>
        <w:t xml:space="preserve">C.  Trustee's Rights and Duties</w:t>
      </w:r>
    </w:p>
    <w:p>
      <w:pPr>
        <w:spacing w:after="130" w:before="0"/>
      </w:pPr>
      <w:r>
        <w:rPr>
          <w:rFonts w:ascii="Times New Roman" w:cs="Times New Roman" w:eastAsia="Times New Roman" w:hAnsi="Times New Roman"/>
          <w:sz w:val="22"/>
          <w:szCs w:val="22"/>
        </w:rPr>
        <w:t xml:space="preserve">If directed by Lender to foreclose this lien, Trustee will—</w:t>
      </w:r>
    </w:p>
    <w:p>
      <w:pPr>
        <w:spacing w:after="100"/>
        <w:ind w:left="400" w:hanging="400"/>
      </w:pPr>
      <w:r>
        <w:rPr>
          <w:rFonts w:ascii="Times New Roman" w:cs="Times New Roman" w:eastAsia="Times New Roman" w:hAnsi="Times New Roman"/>
          <w:sz w:val="22"/>
          <w:szCs w:val="22"/>
        </w:rPr>
        <w:t xml:space="preserve">1.  either personally or by agent give notice of the foreclosure sale as required by the Texas Property Code as then in effect;</w:t>
      </w:r>
    </w:p>
    <w:p>
      <w:pPr>
        <w:spacing w:after="100"/>
        <w:ind w:left="400" w:hanging="400"/>
      </w:pPr>
      <w:r>
        <w:rPr>
          <w:rFonts w:ascii="Times New Roman" w:cs="Times New Roman" w:eastAsia="Times New Roman" w:hAnsi="Times New Roman"/>
          <w:sz w:val="22"/>
          <w:szCs w:val="22"/>
        </w:rPr>
        <w:t xml:space="preserve">2.  sell and convey all or part of the Property “AS IS” to the highest bidder for cash with a general warranty binding Grantors, subject to the Prior Lien and to the Other Exceptions to Conveyance and Warranty and without representation or warranty, express or implied, by Trustee;</w:t>
      </w:r>
    </w:p>
    <w:p>
      <w:pPr>
        <w:spacing w:after="100"/>
        <w:ind w:left="400" w:hanging="400"/>
      </w:pPr>
      <w:r>
        <w:rPr>
          <w:rFonts w:ascii="Times New Roman" w:cs="Times New Roman" w:eastAsia="Times New Roman" w:hAnsi="Times New Roman"/>
          <w:sz w:val="22"/>
          <w:szCs w:val="22"/>
        </w:rPr>
        <w:t xml:space="preserve">3.  from the proceeds of the sale, pay, in this order—</w:t>
      </w:r>
    </w:p>
    <w:p>
      <w:pPr>
        <w:spacing w:after="90"/>
        <w:ind w:left="1120" w:hanging="340"/>
      </w:pPr>
      <w:r>
        <w:rPr>
          <w:rFonts w:ascii="Times New Roman" w:cs="Times New Roman" w:eastAsia="Times New Roman" w:hAnsi="Times New Roman"/>
          <w:sz w:val="22"/>
          <w:szCs w:val="22"/>
        </w:rPr>
        <w:t xml:space="preserve">a.  expenses of foreclosure, including a reasonable commission to Trustee;</w:t>
      </w:r>
    </w:p>
    <w:p>
      <w:pPr>
        <w:spacing w:after="90"/>
        <w:ind w:left="1120" w:hanging="340"/>
      </w:pPr>
      <w:r>
        <w:rPr>
          <w:rFonts w:ascii="Times New Roman" w:cs="Times New Roman" w:eastAsia="Times New Roman" w:hAnsi="Times New Roman"/>
          <w:sz w:val="22"/>
          <w:szCs w:val="22"/>
        </w:rPr>
        <w:t xml:space="preserve">b.  to Lender, the full amount of principal, interest, attorney's fees, and other charges due and unpaid;</w:t>
      </w:r>
    </w:p>
    <w:p>
      <w:pPr>
        <w:spacing w:after="90"/>
        <w:ind w:left="1120" w:hanging="340"/>
      </w:pPr>
      <w:r>
        <w:rPr>
          <w:rFonts w:ascii="Times New Roman" w:cs="Times New Roman" w:eastAsia="Times New Roman" w:hAnsi="Times New Roman"/>
          <w:sz w:val="22"/>
          <w:szCs w:val="22"/>
        </w:rPr>
        <w:t xml:space="preserve">c.  any amounts required by law to be paid before payment to Grantors; and</w:t>
      </w:r>
    </w:p>
    <w:p>
      <w:pPr>
        <w:spacing w:after="90"/>
        <w:ind w:left="1120" w:hanging="340"/>
      </w:pPr>
      <w:r>
        <w:rPr>
          <w:rFonts w:ascii="Times New Roman" w:cs="Times New Roman" w:eastAsia="Times New Roman" w:hAnsi="Times New Roman"/>
          <w:sz w:val="22"/>
          <w:szCs w:val="22"/>
        </w:rPr>
        <w:t xml:space="preserve">d.  to Grantors, any balance; and</w:t>
      </w:r>
    </w:p>
    <w:p>
      <w:pPr>
        <w:spacing w:after="100"/>
        <w:ind w:left="400" w:hanging="400"/>
      </w:pPr>
      <w:r>
        <w:rPr>
          <w:rFonts w:ascii="Times New Roman" w:cs="Times New Roman" w:eastAsia="Times New Roman" w:hAnsi="Times New Roman"/>
          <w:sz w:val="22"/>
          <w:szCs w:val="22"/>
        </w:rPr>
        <w:t xml:space="preserve">4.  be indemnified, held harmless, and defended by Lender against all costs, expenses, and liabilities incurred by Trustee for acting in the execution or enforcement of the trust created by this deed of trust, which includes all court and other costs, including attorney's fees, incurred by Trustee in defense of any action or proceeding taken against Trustee in that capacity.</w:t>
      </w:r>
    </w:p>
    <w:p>
      <w:pPr>
        <w:spacing w:after="80" w:before="160"/>
      </w:pPr>
      <w:r>
        <w:rPr>
          <w:rFonts w:ascii="Times New Roman" w:cs="Times New Roman" w:eastAsia="Times New Roman" w:hAnsi="Times New Roman"/>
          <w:b/>
          <w:bCs/>
          <w:sz w:val="22"/>
          <w:szCs w:val="22"/>
        </w:rPr>
        <w:t xml:space="preserve">D.  General Provisions</w:t>
      </w:r>
    </w:p>
    <w:p>
      <w:pPr>
        <w:spacing w:after="100"/>
        <w:ind w:left="400" w:hanging="400"/>
      </w:pPr>
      <w:r>
        <w:rPr>
          <w:rFonts w:ascii="Times New Roman" w:cs="Times New Roman" w:eastAsia="Times New Roman" w:hAnsi="Times New Roman"/>
          <w:sz w:val="22"/>
          <w:szCs w:val="22"/>
        </w:rPr>
        <w:t xml:space="preserve">1.  If any of the Property is sold under this deed of trust, Grantors must immediately surrender possession to the purchaser. If Grantors fail to do so, Grantors will become a tenant at sufferance of the purchaser, subject to an action for forcible detainer.</w:t>
      </w:r>
    </w:p>
    <w:p>
      <w:pPr>
        <w:spacing w:after="100"/>
        <w:ind w:left="400" w:hanging="400"/>
      </w:pPr>
      <w:r>
        <w:rPr>
          <w:rFonts w:ascii="Times New Roman" w:cs="Times New Roman" w:eastAsia="Times New Roman" w:hAnsi="Times New Roman"/>
          <w:sz w:val="22"/>
          <w:szCs w:val="22"/>
        </w:rPr>
        <w:t xml:space="preserve">2.  Recitals in any trustee's deed conveying the Property will be presumed to be true.</w:t>
      </w:r>
    </w:p>
    <w:p>
      <w:pPr>
        <w:spacing w:after="100"/>
        <w:ind w:left="400" w:hanging="400"/>
      </w:pPr>
      <w:r>
        <w:rPr>
          <w:rFonts w:ascii="Times New Roman" w:cs="Times New Roman" w:eastAsia="Times New Roman" w:hAnsi="Times New Roman"/>
          <w:sz w:val="22"/>
          <w:szCs w:val="22"/>
        </w:rPr>
        <w:t xml:space="preserve">3.  Proceeding under this deed of trust, filing suit for foreclosure, or pursuing any other remedy will not constitute an election of remedies.</w:t>
      </w:r>
    </w:p>
    <w:p>
      <w:pPr>
        <w:spacing w:after="100"/>
        <w:ind w:left="400" w:hanging="400"/>
      </w:pPr>
      <w:r>
        <w:rPr>
          <w:rFonts w:ascii="Times New Roman" w:cs="Times New Roman" w:eastAsia="Times New Roman" w:hAnsi="Times New Roman"/>
          <w:sz w:val="22"/>
          <w:szCs w:val="22"/>
        </w:rPr>
        <w:t xml:space="preserve">4.  This lien will remain superior to liens later created even if the time of payment of all or part of the Obligation is extended or part of the Property is released.</w:t>
      </w:r>
    </w:p>
    <w:p>
      <w:pPr>
        <w:spacing w:after="100"/>
        <w:ind w:left="400" w:hanging="400"/>
      </w:pPr>
      <w:r>
        <w:rPr>
          <w:rFonts w:ascii="Times New Roman" w:cs="Times New Roman" w:eastAsia="Times New Roman" w:hAnsi="Times New Roman"/>
          <w:sz w:val="22"/>
          <w:szCs w:val="22"/>
        </w:rPr>
        <w:t xml:space="preserve">5.  If any portion of the Obligation cannot be lawfully secured by this deed of trust, payments will be applied first to discharge that portion.</w:t>
      </w:r>
    </w:p>
    <w:p>
      <w:pPr>
        <w:spacing w:after="100"/>
        <w:ind w:left="400" w:hanging="400"/>
      </w:pPr>
      <w:r>
        <w:rPr>
          <w:rFonts w:ascii="Times New Roman" w:cs="Times New Roman" w:eastAsia="Times New Roman" w:hAnsi="Times New Roman"/>
          <w:sz w:val="22"/>
          <w:szCs w:val="22"/>
        </w:rPr>
        <w:t xml:space="preserve">6.  Grantors assign to Lender all amounts payable to or received by Grantors from condemnation of all or part of the Property, from private sale in lieu of condemnation, and from damages caused by public works or construction on or near the Property. After deducting any expenses incurred, including attorney's fees and court and other costs, Lender will either release any remaining amounts to Grantors or apply such amounts to reduce the Obligation. Lender will not be liable for failure to collect or to exercise diligence in collecting any such amounts. Grantors will immediately give Lender notice of any actual or threatened proceedings for condemnation of all or part of the Property.</w:t>
      </w:r>
    </w:p>
    <w:p>
      <w:pPr>
        <w:spacing w:after="100"/>
        <w:ind w:left="400" w:hanging="400"/>
      </w:pPr>
      <w:r>
        <w:rPr>
          <w:rFonts w:ascii="Times New Roman" w:cs="Times New Roman" w:eastAsia="Times New Roman" w:hAnsi="Times New Roman"/>
          <w:sz w:val="22"/>
          <w:szCs w:val="22"/>
        </w:rPr>
        <w:t xml:space="preserve">7.  Grantors collaterally assign to Lender all present and future rent from the Property and its proceeds. Grantors warrant the validity and enforceability of the assignment. Grantors will apply all rent to payment of the Obligation and performance of this deed of trust, but if the rent exceeds the amount due with respect to the Obligation and the deed of trust, Grantors may retain the excess. If a default exists in payment of the Obligation or performance of this deed of trust, Lender may exercise Lender's rights with respect to rent under the Texas Property Code as then in effect. Lender neither has nor assumes any obligations as lessor or landlord with respect to any occupant of the Property. Lender may exercise Lender's rights and remedies under this paragraph without taking possession of the Property. Lender will apply all rent collected under this paragraph as required by the Texas Property Code as then in effect. Lender is not required to act under this paragraph, and acting under this paragraph does not waive any of Lender's other rights or remedies.</w:t>
      </w:r>
    </w:p>
    <w:p>
      <w:pPr>
        <w:spacing w:after="100"/>
        <w:ind w:left="400" w:hanging="400"/>
      </w:pPr>
      <w:r>
        <w:rPr>
          <w:rFonts w:ascii="Times New Roman" w:cs="Times New Roman" w:eastAsia="Times New Roman" w:hAnsi="Times New Roman"/>
          <w:sz w:val="22"/>
          <w:szCs w:val="22"/>
        </w:rPr>
        <w:t xml:space="preserve">8.  Interest on the debt secured by this deed of trust will not exceed the maximum amount of nonusurious interest that may be contracted for, taken, reserved, charged, or received under law. Any interest in excess of that maximum amount will be credited on the principal of the debt or, if that has been paid, refunded. On any acceleration or required or permitted prepayment, any such excess will be canceled automatically as of the acceleration or prepayment or, if already paid, credited on the principal of the debt or, if the principal of the debt has been paid, refunded. This provision overrides any conflicting provisions in this and all other instruments concerning the debt.</w:t>
      </w:r>
    </w:p>
    <w:p>
      <w:pPr>
        <w:spacing w:after="100"/>
        <w:ind w:left="400" w:hanging="400"/>
      </w:pPr>
      <w:r>
        <w:rPr>
          <w:rFonts w:ascii="Times New Roman" w:cs="Times New Roman" w:eastAsia="Times New Roman" w:hAnsi="Times New Roman"/>
          <w:sz w:val="22"/>
          <w:szCs w:val="22"/>
        </w:rPr>
        <w:t xml:space="preserve">9.  In no event may this deed of trust secure payment of any debt that may not lawfully be secured by a lien on real estate or create a lien otherwise prohibited by law.</w:t>
      </w:r>
    </w:p>
    <w:p>
      <w:pPr>
        <w:spacing w:after="100"/>
        <w:ind w:left="400" w:hanging="400"/>
      </w:pPr>
      <w:r>
        <w:rPr>
          <w:rFonts w:ascii="Times New Roman" w:cs="Times New Roman" w:eastAsia="Times New Roman" w:hAnsi="Times New Roman"/>
          <w:sz w:val="22"/>
          <w:szCs w:val="22"/>
        </w:rPr>
        <w:t xml:space="preserve">10.  When the context requires, singular nouns and pronouns include the plural.</w:t>
      </w:r>
    </w:p>
    <w:p>
      <w:pPr>
        <w:spacing w:after="100"/>
        <w:ind w:left="400" w:hanging="400"/>
      </w:pPr>
      <w:r>
        <w:rPr>
          <w:rFonts w:ascii="Times New Roman" w:cs="Times New Roman" w:eastAsia="Times New Roman" w:hAnsi="Times New Roman"/>
          <w:sz w:val="22"/>
          <w:szCs w:val="22"/>
        </w:rPr>
        <w:t xml:space="preserve">11.  The term Note includes all extensions, modifications, and renewals of the Note and all amounts secured by this deed of trust.</w:t>
      </w:r>
    </w:p>
    <w:p>
      <w:pPr>
        <w:spacing w:after="100"/>
        <w:ind w:left="400" w:hanging="400"/>
      </w:pPr>
      <w:r>
        <w:rPr>
          <w:rFonts w:ascii="Times New Roman" w:cs="Times New Roman" w:eastAsia="Times New Roman" w:hAnsi="Times New Roman"/>
          <w:sz w:val="22"/>
          <w:szCs w:val="22"/>
        </w:rPr>
        <w:t xml:space="preserve">12.  At Lender's election, exercised by written notice to Grantors, Grantors will deposit with Lender, in addition to the payments required under the Note, a pro rata part of the estimated annual ad valorem taxes on the Property and a pro rata part of the estimated annual insurance premiums for the improvements on the Property. These tax and insurance deposits are only estimates and may be insufficient to pay total taxes and insurance premiums. Grantors must pay any deficiency within thirty days after notice from Lender. Grantors' failure to pay the deficiency will constitute a default under this deed of trust.</w:t>
      </w:r>
    </w:p>
    <w:p>
      <w:pPr>
        <w:spacing w:after="100"/>
        <w:ind w:left="400" w:hanging="400"/>
      </w:pPr>
      <w:r>
        <w:rPr>
          <w:rFonts w:ascii="Times New Roman" w:cs="Times New Roman" w:eastAsia="Times New Roman" w:hAnsi="Times New Roman"/>
          <w:sz w:val="22"/>
          <w:szCs w:val="22"/>
        </w:rPr>
        <w:t xml:space="preserve">13.  If the Property is transferred by foreclosure, the transferee will acquire title to all insurance policies on the Property, including all paid but unearned premiums.</w:t>
      </w:r>
    </w:p>
    <w:p>
      <w:pPr>
        <w:spacing w:after="100"/>
        <w:ind w:left="400" w:hanging="400"/>
      </w:pPr>
      <w:r>
        <w:rPr>
          <w:rFonts w:ascii="Times New Roman" w:cs="Times New Roman" w:eastAsia="Times New Roman" w:hAnsi="Times New Roman"/>
          <w:sz w:val="22"/>
          <w:szCs w:val="22"/>
        </w:rPr>
        <w:t xml:space="preserve">14.  Grantors agree to allow Lender or Lender's agents to enter the Property at reasonable times and inspect it and any personal property in which Lender is granted a security interest by this deed of trust, and to inspect the progress and quality of any construction or renovation work funded in whole or in part by the Obligation.</w:t>
      </w:r>
    </w:p>
    <w:p>
      <w:pPr>
        <w:spacing w:after="100"/>
        <w:ind w:left="400" w:hanging="400"/>
      </w:pPr>
      <w:r>
        <w:rPr>
          <w:rFonts w:ascii="Times New Roman" w:cs="Times New Roman" w:eastAsia="Times New Roman" w:hAnsi="Times New Roman"/>
          <w:sz w:val="22"/>
          <w:szCs w:val="22"/>
        </w:rPr>
        <w:t xml:space="preserve">15.  GRANTORS MAY FURNISH ANY INSURANCE REQUIRED BY THIS DEED OF TRUST EITHER THROUGH EXISTING POLICIES OWNED OR CONTROLLED BY GRANTORS OR THROUGH EQUIVALENT COVERAGE FROM ANY INSURANCE COMPANY AUTHORIZED TO TRANSACT BUSINESS IN TEXAS.</w:t>
      </w:r>
    </w:p>
    <w:p>
      <w:pPr>
        <w:spacing w:after="100"/>
        <w:ind w:left="400" w:hanging="400"/>
      </w:pPr>
      <w:r>
        <w:rPr>
          <w:rFonts w:ascii="Times New Roman" w:cs="Times New Roman" w:eastAsia="Times New Roman" w:hAnsi="Times New Roman"/>
          <w:sz w:val="22"/>
          <w:szCs w:val="22"/>
        </w:rPr>
        <w:t xml:space="preserve">16.  If Grantors transfer any part of the Property without Lender's prior written consent, Lender may declare the debt secured by this deed of trust immediately payable and invoke any remedies provided in this deed of trust for default.</w:t>
      </w:r>
    </w:p>
    <w:p>
      <w:pPr>
        <w:spacing w:after="100"/>
        <w:ind w:left="400" w:hanging="400"/>
      </w:pPr>
      <w:r>
        <w:rPr>
          <w:rFonts w:ascii="Times New Roman" w:cs="Times New Roman" w:eastAsia="Times New Roman" w:hAnsi="Times New Roman"/>
          <w:sz w:val="22"/>
          <w:szCs w:val="22"/>
        </w:rPr>
        <w:t xml:space="preserve">17.  This deed of trust binds, benefits, and may be enforced by the successors in interest of all parties.</w:t>
      </w:r>
    </w:p>
    <w:p>
      <w:pPr>
        <w:spacing w:after="100"/>
        <w:ind w:left="400" w:hanging="400"/>
      </w:pPr>
      <w:r>
        <w:rPr>
          <w:rFonts w:ascii="Times New Roman" w:cs="Times New Roman" w:eastAsia="Times New Roman" w:hAnsi="Times New Roman"/>
          <w:sz w:val="22"/>
          <w:szCs w:val="22"/>
        </w:rPr>
        <w:t xml:space="preserve">18.  If Grantors and Borrowers are not the same person, the term Grantors includes Borrowers.</w:t>
      </w:r>
    </w:p>
    <w:p>
      <w:pPr>
        <w:spacing w:after="100"/>
        <w:ind w:left="400" w:hanging="400"/>
      </w:pPr>
      <w:r>
        <w:rPr>
          <w:rFonts w:ascii="Times New Roman" w:cs="Times New Roman" w:eastAsia="Times New Roman" w:hAnsi="Times New Roman"/>
          <w:sz w:val="22"/>
          <w:szCs w:val="22"/>
        </w:rPr>
        <w:t xml:space="preserve">19.  Grantors and each surety, endorser, and guarantor of the Obligation waive, to the extent permitted by law, all (a) demand for payment, (b) presentation for payment, (c) notice of intention to accelerate maturity, (d) notice of acceleration of maturity, (e) protest, (f) notice of protest, and (g) rights under sections 51.003, 51.004, and 51.005 of the Texas Property Code.</w:t>
      </w:r>
    </w:p>
    <w:p>
      <w:pPr>
        <w:spacing w:after="100"/>
        <w:ind w:left="400" w:hanging="400"/>
      </w:pPr>
      <w:r>
        <w:rPr>
          <w:rFonts w:ascii="Times New Roman" w:cs="Times New Roman" w:eastAsia="Times New Roman" w:hAnsi="Times New Roman"/>
          <w:sz w:val="22"/>
          <w:szCs w:val="22"/>
        </w:rPr>
        <w:t xml:space="preserve">20.  Grantors will have full recourse liability for repayment of the principal and interest of the Note and the performance of all covenants and agreements of Grantors in this deed of trust.</w:t>
      </w:r>
    </w:p>
    <w:p>
      <w:pPr>
        <w:spacing w:after="100"/>
        <w:ind w:left="400" w:hanging="400"/>
      </w:pPr>
      <w:r>
        <w:rPr>
          <w:rFonts w:ascii="Times New Roman" w:cs="Times New Roman" w:eastAsia="Times New Roman" w:hAnsi="Times New Roman"/>
          <w:sz w:val="22"/>
          <w:szCs w:val="22"/>
        </w:rPr>
        <w:t xml:space="preserve">21.  Grantors agree to pay reasonable attorney's fees, trustee's fees, and court and other costs of enforcing Lender's rights under this deed of trust if this deed of trust is placed in the hands of an attorney for enforcement.</w:t>
      </w:r>
    </w:p>
    <w:p>
      <w:pPr>
        <w:spacing w:after="100"/>
        <w:ind w:left="400" w:hanging="400"/>
      </w:pPr>
      <w:r>
        <w:rPr>
          <w:rFonts w:ascii="Times New Roman" w:cs="Times New Roman" w:eastAsia="Times New Roman" w:hAnsi="Times New Roman"/>
          <w:sz w:val="22"/>
          <w:szCs w:val="22"/>
        </w:rPr>
        <w:t xml:space="preserve">22.  If any provision of this deed of trust is determined to be invalid or unenforceable, the validity or enforceability of any other provision will not be affected.</w:t>
      </w:r>
    </w:p>
    <w:p>
      <w:pPr>
        <w:spacing w:after="100"/>
        <w:ind w:left="400" w:hanging="400"/>
      </w:pPr>
      <w:r>
        <w:rPr>
          <w:rFonts w:ascii="Times New Roman" w:cs="Times New Roman" w:eastAsia="Times New Roman" w:hAnsi="Times New Roman"/>
          <w:sz w:val="22"/>
          <w:szCs w:val="22"/>
        </w:rPr>
        <w:t xml:space="preserve">23.  The term Lender includes any mortgage servicer for Lender.</w:t>
      </w:r>
    </w:p>
    <w:p>
      <w:pPr>
        <w:spacing w:after="100"/>
        <w:ind w:left="400" w:hanging="400"/>
      </w:pPr>
      <w:r>
        <w:rPr>
          <w:rFonts w:ascii="Times New Roman" w:cs="Times New Roman" w:eastAsia="Times New Roman" w:hAnsi="Times New Roman"/>
          <w:sz w:val="22"/>
          <w:szCs w:val="22"/>
        </w:rPr>
        <w:t xml:space="preserve">24.  Grantors represent and warrant that the loan evidenced by the Note is made solely for business, commercial, investment, or other similar purposes, and is not made for personal, family, or household purposes; and that the Property is acquired and held for investment and resale and is not, and will not be, occupied, used, or claimed as the residence or business homestead of Grantors or of any principal, member, or manager of Grantors. Lender is relying on these representations in making the loan, and these representations survive the closing and funding of the loan.</w:t>
      </w:r>
    </w:p>
    <w:p>
      <w:pPr>
        <w:spacing w:after="220" w:before="200"/>
        <w:jc w:val="center"/>
      </w:pPr>
      <w:r>
        <w:rPr>
          <w:rFonts w:ascii="Times New Roman" w:cs="Times New Roman" w:eastAsia="Times New Roman" w:hAnsi="Times New Roman"/>
          <w:b/>
          <w:bCs/>
          <w:sz w:val="22"/>
          <w:szCs w:val="22"/>
          <w:u w:val="single"/>
        </w:rPr>
        <w:t xml:space="preserve">SIGNATURE PAGE TO FOLLOW</w:t>
      </w:r>
    </w:p>
    <w:p>
      <w:pPr>
        <w:spacing w:after="220" w:before="0"/>
      </w:pPr>
      <w:r>
        <w:rPr>
          <w:rFonts w:ascii="Times New Roman" w:cs="Times New Roman" w:eastAsia="Times New Roman" w:hAnsi="Times New Roman"/>
          <w:b/>
          <w:bCs/>
          <w:sz w:val="22"/>
          <w:szCs w:val="22"/>
        </w:rPr>
        <w:t>Grantor / Borrower Entity:  {{BORROWER_ENTITY}}</w:t>
      </w:r>
      <w:r>
        <w:rPr>
          <w:rFonts w:ascii="Times New Roman" w:cs="Times New Roman" w:eastAsia="Times New Roman" w:hAnsi="Times New Roman"/>
          <w:sz w:val="22"/>
          <w:szCs w:val="22"/>
          <w:u w:val="single"/>
        </w:rPr>
      </w:r>
      <w:r>
        <w:rPr>
          <w:rFonts w:ascii="Times New Roman" w:cs="Times New Roman" w:eastAsia="Times New Roman" w:hAnsi="Times New Roman"/>
          <w:sz w:val="22"/>
          <w:szCs w:val="22"/>
        </w:rPr>
      </w:r>
    </w:p>
    <w:p>
      <w:pPr>
        <w:spacing w:after="200" w:before="0"/>
      </w:pPr>
      <w:r>
        <w:rPr>
          <w:rFonts w:ascii="Times New Roman" w:cs="Times New Roman" w:eastAsia="Times New Roman" w:hAnsi="Times New Roman"/>
          <w:sz w:val="22"/>
          <w:szCs w:val="22"/>
        </w:rPr>
        <w:t xml:space="preserve">By:  __________________________________________________________</w:t>
      </w:r>
    </w:p>
    <w:p>
      <w:pPr>
        <w:spacing w:after="200" w:before="0"/>
      </w:pPr>
      <w:r>
        <w:rPr>
          <w:rFonts w:ascii="Times New Roman" w:cs="Times New Roman" w:eastAsia="Times New Roman" w:hAnsi="Times New Roman"/>
          <w:sz w:val="22"/>
          <w:szCs w:val="22"/>
        </w:rPr>
        <w:t>Name:  {{SIGNER_NAME}}</w:t>
      </w:r>
    </w:p>
    <w:p>
      <w:pPr>
        <w:spacing w:after="240" w:before="0"/>
      </w:pPr>
      <w:r>
        <w:rPr>
          <w:rFonts w:ascii="Times New Roman" w:cs="Times New Roman" w:eastAsia="Times New Roman" w:hAnsi="Times New Roman"/>
          <w:sz w:val="22"/>
          <w:szCs w:val="22"/>
        </w:rPr>
        <w:t>Title:  {{SIGNER_TITLE}}</w:t>
      </w:r>
    </w:p>
    <w:p>
      <w:pPr>
        <w:spacing w:after="130" w:before="0"/>
      </w:pPr>
      <w:r>
        <w:rPr>
          <w:rFonts w:ascii="Times New Roman" w:cs="Times New Roman" w:eastAsia="Times New Roman" w:hAnsi="Times New Roman"/>
          <w:b/>
          <w:bCs/>
          <w:sz w:val="22"/>
          <w:szCs w:val="22"/>
        </w:rPr>
        <w:t xml:space="preserve">STATE OF TEXAS</w:t>
      </w:r>
    </w:p>
    <w:p>
      <w:pPr>
        <w:spacing w:after="130" w:before="0"/>
      </w:pPr>
      <w:r>
        <w:rPr>
          <w:rFonts w:ascii="Times New Roman" w:cs="Times New Roman" w:eastAsia="Times New Roman" w:hAnsi="Times New Roman"/>
          <w:b/>
          <w:bCs/>
          <w:sz w:val="22"/>
          <w:szCs w:val="22"/>
        </w:rPr>
        <w:t xml:space="preserve">COUNTY OF {{COUNTY}} </w:t>
      </w:r>
      <w:r>
        <w:rPr>
          <w:rFonts w:ascii="Times New Roman" w:cs="Times New Roman" w:eastAsia="Times New Roman" w:hAnsi="Times New Roman"/>
          <w:sz w:val="22"/>
          <w:szCs w:val="22"/>
          <w:u w:val="single"/>
        </w:rPr>
      </w:r>
    </w:p>
    <w:p>
      <w:pPr>
        <w:spacing w:after="130" w:before="100"/>
      </w:pPr>
      <w:r>
        <w:rPr>
          <w:rFonts w:ascii="Times New Roman" w:cs="Times New Roman" w:eastAsia="Times New Roman" w:hAnsi="Times New Roman"/>
          <w:sz w:val="22"/>
          <w:szCs w:val="22"/>
        </w:rPr>
        <w:t xml:space="preserve">This instrument was acknowledged before me on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(date), by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of </w:t>
      </w:r>
      <w:r>
        <w:rPr>
          <w:rFonts w:ascii="Times New Roman" w:cs="Times New Roman" w:eastAsia="Times New Roman" w:hAnsi="Times New Roman"/>
          <w:sz w:val="22"/>
          <w:szCs w:val="22"/>
          <w:u w:val="single"/>
        </w:rPr>
        <w:t xml:space="preserve">                              </w:t>
      </w:r>
      <w:r>
        <w:rPr>
          <w:rFonts w:ascii="Times New Roman" w:cs="Times New Roman" w:eastAsia="Times New Roman" w:hAnsi="Times New Roman"/>
          <w:sz w:val="22"/>
          <w:szCs w:val="22"/>
        </w:rPr>
        <w:t xml:space="preserve"> LLC, a Texas limited liability company, on behalf of said company.</w:t>
      </w:r>
    </w:p>
    <w:p>
      <w:pPr>
        <w:spacing w:after="130" w:before="240"/>
      </w:pPr>
      <w:r>
        <w:rPr>
          <w:rFonts w:ascii="Times New Roman" w:cs="Times New Roman" w:eastAsia="Times New Roman" w:hAnsi="Times New Roman"/>
          <w:sz w:val="22"/>
          <w:szCs w:val="22"/>
        </w:rPr>
        <w:t xml:space="preserve">__________________________________________________________</w:t>
      </w:r>
    </w:p>
    <w:p>
      <w:pPr>
        <w:spacing w:after="130" w:before="0"/>
      </w:pPr>
      <w:r>
        <w:rPr>
          <w:rFonts w:ascii="Times New Roman" w:cs="Times New Roman" w:eastAsia="Times New Roman" w:hAnsi="Times New Roman"/>
          <w:sz w:val="22"/>
          <w:szCs w:val="22"/>
        </w:rPr>
        <w:t xml:space="preserve">Notary Public, State of Texas</w:t>
      </w:r>
    </w:p>
    <w:p>
      <w:pPr>
        <w:spacing w:after="130" w:before="220"/>
      </w:pPr>
      <w:r>
        <w:rPr>
          <w:rFonts w:ascii="Times New Roman" w:cs="Times New Roman" w:eastAsia="Times New Roman" w:hAnsi="Times New Roman"/>
          <w:b/>
          <w:bCs/>
          <w:sz w:val="22"/>
          <w:szCs w:val="22"/>
        </w:rPr>
        <w:t xml:space="preserve">AFTER RECORDING, RETURN TO:</w:t>
      </w:r>
    </w:p>
    <w:p>
      <w:pPr>
        <w:spacing w:after="40" w:before="0"/>
      </w:pPr>
      <w:r>
        <w:rPr>
          <w:rFonts w:ascii="Times New Roman" w:cs="Times New Roman" w:eastAsia="Times New Roman" w:hAnsi="Times New Roman"/>
          <w:sz w:val="22"/>
          <w:szCs w:val="22"/>
        </w:rPr>
        <w:t xml:space="preserve">Lazy Dog Capital LLC</w:t>
      </w:r>
    </w:p>
    <w:p>
      <w:pPr>
        <w:spacing w:after="40" w:before="0"/>
      </w:pPr>
      <w:r>
        <w:rPr>
          <w:rFonts w:ascii="Times New Roman" w:cs="Times New Roman" w:eastAsia="Times New Roman" w:hAnsi="Times New Roman"/>
          <w:sz w:val="22"/>
          <w:szCs w:val="22"/>
        </w:rPr>
        <w:t xml:space="preserve">3400 N Central Expy #110-217</w:t>
      </w:r>
    </w:p>
    <w:p>
      <w:pPr>
        <w:spacing w:after="130" w:before="0"/>
      </w:pPr>
      <w:r>
        <w:rPr>
          <w:rFonts w:ascii="Times New Roman" w:cs="Times New Roman" w:eastAsia="Times New Roman" w:hAnsi="Times New Roman"/>
          <w:sz w:val="22"/>
          <w:szCs w:val="22"/>
        </w:rPr>
        <w:t xml:space="preserve">Richardson, TX 75080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sz w:val="18"/>
        <w:szCs w:val="18"/>
      </w:rPr>
      <w:t xml:space="preserve">Deed of Trust  |  Page </w:t>
    </w:r>
    <w:r>
      <w:rPr>
        <w:rFonts w:ascii="Times New Roman" w:cs="Times New Roman" w:eastAsia="Times New Roman" w:hAnsi="Times New Roman"/>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2026-07-27T21:25:50.031Z</dcterms:created>
  <dcterms:modified xsi:type="dcterms:W3CDTF">2026-07-27T21:25:50.050Z</dcterms:modified>
</cp:coreProperties>
</file>

<file path=docProps/custom.xml><?xml version="1.0" encoding="utf-8"?>
<Properties xmlns="http://schemas.openxmlformats.org/officeDocument/2006/custom-properties" xmlns:vt="http://schemas.openxmlformats.org/officeDocument/2006/docPropsVTypes"/>
</file>