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drawing>
          <wp:inline xmlns:a="http://schemas.openxmlformats.org/drawingml/2006/main" xmlns:pic="http://schemas.openxmlformats.org/drawingml/2006/picture">
            <wp:extent cx="2011680" cy="65122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orizontal_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011680" cy="6512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pBdr>
          <w:bottom w:val="single" w:sz="10" w:space="3" w:color="C89430"/>
        </w:pBdr>
      </w:pPr>
    </w:p>
    <w:p>
      <w:pPr>
        <w:spacing w:after="40"/>
      </w:pPr>
      <w:r>
        <w:rPr>
          <w:rFonts w:ascii="Century Gothic" w:hAnsi="Century Gothic"/>
          <w:b/>
          <w:color w:val="1E3C36"/>
          <w:sz w:val="44"/>
        </w:rPr>
        <w:t>DEED IN LIEU — ACCEPTANCE CHECKLIST</w:t>
      </w:r>
    </w:p>
    <w:p>
      <w:pPr>
        <w:spacing w:after="120"/>
      </w:pPr>
      <w:r>
        <w:rPr>
          <w:b/>
          <w:color w:val="1E3C36"/>
          <w:sz w:val="21"/>
        </w:rPr>
        <w:t>INTERNAL USE ONLY — DO NOT SEND TO BORROWER</w:t>
      </w:r>
    </w:p>
    <w:p>
      <w:pPr>
        <w:spacing w:after="120"/>
      </w:pPr>
      <w:r>
        <w:rPr>
          <w:color w:val="2E3B38"/>
          <w:sz w:val="21"/>
        </w:rPr>
        <w:t xml:space="preserve">Run this before accepting any conveyance in lieu of foreclosure. Both Managers sign off. If any </w:t>
      </w:r>
      <w:r>
        <w:rPr>
          <w:b/>
          <w:color w:val="1E3C36"/>
          <w:sz w:val="21"/>
        </w:rPr>
        <w:t>HARD STOP</w:t>
      </w:r>
      <w:r>
        <w:rPr>
          <w:color w:val="2E3B38"/>
          <w:sz w:val="21"/>
        </w:rPr>
        <w:t xml:space="preserve"> is triggered, do not accept the deed — proceed to foreclosure under Texas Property Code § 51.002.</w:t>
      </w:r>
    </w:p>
    <w:p>
      <w:pPr>
        <w:spacing w:after="120"/>
        <w:pBdr>
          <w:bottom w:val="single" w:sz="4" w:space="3" w:color="DFD8C8"/>
        </w:pBdr>
      </w:pPr>
    </w:p>
    <w:p>
      <w:pPr>
        <w:spacing w:after="120"/>
      </w:pPr>
      <w:r>
        <w:rPr>
          <w:b/>
          <w:color w:val="1E3C36"/>
          <w:sz w:val="21"/>
        </w:rPr>
        <w:t>Loan No.:</w:t>
      </w:r>
      <w:r>
        <w:rPr>
          <w:color w:val="2E3B38"/>
          <w:sz w:val="21"/>
        </w:rPr>
        <w:t xml:space="preserve"> __________ </w:t>
      </w:r>
      <w:r>
        <w:rPr>
          <w:b/>
          <w:color w:val="1E3C36"/>
          <w:sz w:val="21"/>
        </w:rPr>
        <w:t>Borrower:</w:t>
      </w:r>
      <w:r>
        <w:rPr>
          <w:color w:val="2E3B38"/>
          <w:sz w:val="21"/>
        </w:rPr>
        <w:t xml:space="preserve"> ____________________</w:t>
      </w:r>
    </w:p>
    <w:p>
      <w:pPr>
        <w:spacing w:after="120"/>
      </w:pPr>
      <w:r>
        <w:rPr>
          <w:b/>
          <w:color w:val="1E3C36"/>
          <w:sz w:val="21"/>
        </w:rPr>
        <w:t>Property:</w:t>
      </w:r>
      <w:r>
        <w:rPr>
          <w:color w:val="2E3B38"/>
          <w:sz w:val="21"/>
        </w:rPr>
        <w:t xml:space="preserve"> ________________________________ </w:t>
      </w:r>
      <w:r>
        <w:rPr>
          <w:b/>
          <w:color w:val="1E3C36"/>
          <w:sz w:val="21"/>
        </w:rPr>
        <w:t>Date of review:</w:t>
      </w:r>
      <w:r>
        <w:rPr>
          <w:color w:val="2E3B38"/>
          <w:sz w:val="21"/>
        </w:rPr>
        <w:t xml:space="preserve"> ________</w:t>
      </w:r>
    </w:p>
    <w:p>
      <w:pPr>
        <w:spacing w:after="120"/>
      </w:pPr>
      <w:r>
        <w:rPr>
          <w:b/>
          <w:color w:val="1E3C36"/>
          <w:sz w:val="21"/>
        </w:rPr>
        <w:t>Default:</w:t>
      </w:r>
      <w:r>
        <w:rPr>
          <w:color w:val="2E3B38"/>
          <w:sz w:val="21"/>
        </w:rPr>
        <w:t xml:space="preserve"> ______________________ </w:t>
      </w:r>
      <w:r>
        <w:rPr>
          <w:b/>
          <w:color w:val="1E3C36"/>
          <w:sz w:val="21"/>
        </w:rPr>
        <w:t>Notice date:</w:t>
      </w:r>
      <w:r>
        <w:rPr>
          <w:color w:val="2E3B38"/>
          <w:sz w:val="21"/>
        </w:rPr>
        <w:t xml:space="preserve"> ________ </w:t>
      </w:r>
      <w:r>
        <w:rPr>
          <w:b/>
          <w:color w:val="1E3C36"/>
          <w:sz w:val="21"/>
        </w:rPr>
        <w:t>Cure expired:</w:t>
      </w:r>
      <w:r>
        <w:rPr>
          <w:color w:val="2E3B38"/>
          <w:sz w:val="21"/>
        </w:rPr>
        <w:t xml:space="preserve"> ________</w:t>
      </w:r>
    </w:p>
    <w:p>
      <w:pPr>
        <w:spacing w:after="120"/>
        <w:pBdr>
          <w:bottom w:val="single" w:sz="4" w:space="3" w:color="DFD8C8"/>
        </w:pBdr>
      </w:pPr>
    </w:p>
    <w:p>
      <w:pPr>
        <w:spacing w:before="260" w:after="80"/>
        <w:pBdr>
          <w:bottom w:val="single" w:sz="4" w:space="3" w:color="DFD8C8"/>
        </w:pBdr>
      </w:pPr>
      <w:r>
        <w:rPr>
          <w:rFonts w:ascii="Century Gothic" w:hAnsi="Century Gothic"/>
          <w:b/>
          <w:color w:val="1E3C36"/>
          <w:sz w:val="18"/>
        </w:rPr>
        <w:t>1. TOTAL DEBT — COMPUTE FIRST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shd w:val="clear" w:fill="1E3C36"/>
          </w:tcPr>
          <w:p>
            <w:pPr>
              <w:spacing w:after="20"/>
            </w:pPr>
            <w:r>
              <w:rPr>
                <w:rFonts w:ascii="Century Gothic" w:hAnsi="Century Gothic"/>
                <w:b/>
                <w:color w:val="F0EADE"/>
                <w:sz w:val="15"/>
              </w:rPr>
              <w:t>ITEM</w:t>
            </w:r>
          </w:p>
        </w:tc>
        <w:tc>
          <w:tcPr>
            <w:tcW w:type="dxa" w:w="4896"/>
            <w:shd w:val="clear" w:fill="1E3C36"/>
          </w:tcPr>
          <w:p>
            <w:pPr>
              <w:spacing w:after="20"/>
            </w:pPr>
            <w:r>
              <w:rPr>
                <w:rFonts w:ascii="Century Gothic" w:hAnsi="Century Gothic"/>
                <w:b/>
                <w:color w:val="F0EADE"/>
                <w:sz w:val="15"/>
              </w:rPr>
              <w:t>AMOUNT</w:t>
            </w:r>
          </w:p>
        </w:tc>
      </w:tr>
      <w:tr>
        <w:tc>
          <w:tcPr>
            <w:tcW w:type="dxa" w:w="4896"/>
            <w:shd w:val="clear" w:fill="F7F6F3"/>
          </w:tcPr>
          <w:p>
            <w:pPr>
              <w:spacing w:after="20"/>
            </w:pPr>
            <w:r>
              <w:rPr>
                <w:color w:val="2E3B38"/>
                <w:sz w:val="18"/>
              </w:rPr>
              <w:t>Unpaid principal</w:t>
            </w:r>
          </w:p>
        </w:tc>
        <w:tc>
          <w:tcPr>
            <w:tcW w:type="dxa" w:w="4896"/>
            <w:shd w:val="clear" w:fill="F7F6F3"/>
          </w:tcPr>
          <w:p>
            <w:pPr>
              <w:spacing w:after="20"/>
            </w:pPr>
            <w:r>
              <w:rPr>
                <w:color w:val="2E3B38"/>
                <w:sz w:val="18"/>
              </w:rPr>
              <w:t>$</w:t>
            </w:r>
          </w:p>
        </w:tc>
      </w:tr>
      <w:tr>
        <w:tc>
          <w:tcPr>
            <w:tcW w:type="dxa" w:w="4896"/>
          </w:tcPr>
          <w:p>
            <w:pPr>
              <w:spacing w:after="20"/>
            </w:pPr>
            <w:r>
              <w:rPr>
                <w:color w:val="2E3B38"/>
                <w:sz w:val="18"/>
              </w:rPr>
              <w:t>Accrued interest at 12.000%</w:t>
            </w:r>
          </w:p>
        </w:tc>
        <w:tc>
          <w:tcPr>
            <w:tcW w:type="dxa" w:w="4896"/>
          </w:tcPr>
          <w:p>
            <w:pPr>
              <w:spacing w:after="20"/>
            </w:pPr>
            <w:r>
              <w:rPr>
                <w:color w:val="2E3B38"/>
                <w:sz w:val="18"/>
              </w:rPr>
              <w:t>$</w:t>
            </w:r>
          </w:p>
        </w:tc>
      </w:tr>
      <w:tr>
        <w:tc>
          <w:tcPr>
            <w:tcW w:type="dxa" w:w="4896"/>
            <w:shd w:val="clear" w:fill="F7F6F3"/>
          </w:tcPr>
          <w:p>
            <w:pPr>
              <w:spacing w:after="20"/>
            </w:pPr>
            <w:r>
              <w:rPr>
                <w:color w:val="2E3B38"/>
                <w:sz w:val="18"/>
              </w:rPr>
              <w:t>Accrued interest at default rate 18.000%</w:t>
            </w:r>
          </w:p>
        </w:tc>
        <w:tc>
          <w:tcPr>
            <w:tcW w:type="dxa" w:w="4896"/>
            <w:shd w:val="clear" w:fill="F7F6F3"/>
          </w:tcPr>
          <w:p>
            <w:pPr>
              <w:spacing w:after="20"/>
            </w:pPr>
            <w:r>
              <w:rPr>
                <w:color w:val="2E3B38"/>
                <w:sz w:val="18"/>
              </w:rPr>
              <w:t>$</w:t>
            </w:r>
          </w:p>
        </w:tc>
      </w:tr>
      <w:tr>
        <w:tc>
          <w:tcPr>
            <w:tcW w:type="dxa" w:w="4896"/>
          </w:tcPr>
          <w:p>
            <w:pPr>
              <w:spacing w:after="20"/>
            </w:pPr>
            <w:r>
              <w:rPr>
                <w:color w:val="2E3B38"/>
                <w:sz w:val="18"/>
              </w:rPr>
              <w:t>Late charges</w:t>
            </w:r>
          </w:p>
        </w:tc>
        <w:tc>
          <w:tcPr>
            <w:tcW w:type="dxa" w:w="4896"/>
          </w:tcPr>
          <w:p>
            <w:pPr>
              <w:spacing w:after="20"/>
            </w:pPr>
            <w:r>
              <w:rPr>
                <w:color w:val="2E3B38"/>
                <w:sz w:val="18"/>
              </w:rPr>
              <w:t>$</w:t>
            </w:r>
          </w:p>
        </w:tc>
      </w:tr>
      <w:tr>
        <w:tc>
          <w:tcPr>
            <w:tcW w:type="dxa" w:w="4896"/>
            <w:shd w:val="clear" w:fill="F7F6F3"/>
          </w:tcPr>
          <w:p>
            <w:pPr>
              <w:spacing w:after="20"/>
            </w:pPr>
            <w:r>
              <w:rPr>
                <w:color w:val="2E3B38"/>
                <w:sz w:val="18"/>
              </w:rPr>
              <w:t>Advances — taxes</w:t>
            </w:r>
          </w:p>
        </w:tc>
        <w:tc>
          <w:tcPr>
            <w:tcW w:type="dxa" w:w="4896"/>
            <w:shd w:val="clear" w:fill="F7F6F3"/>
          </w:tcPr>
          <w:p>
            <w:pPr>
              <w:spacing w:after="20"/>
            </w:pPr>
            <w:r>
              <w:rPr>
                <w:color w:val="2E3B38"/>
                <w:sz w:val="18"/>
              </w:rPr>
              <w:t>$</w:t>
            </w:r>
          </w:p>
        </w:tc>
      </w:tr>
      <w:tr>
        <w:tc>
          <w:tcPr>
            <w:tcW w:type="dxa" w:w="4896"/>
          </w:tcPr>
          <w:p>
            <w:pPr>
              <w:spacing w:after="20"/>
            </w:pPr>
            <w:r>
              <w:rPr>
                <w:color w:val="2E3B38"/>
                <w:sz w:val="18"/>
              </w:rPr>
              <w:t>Advances — insurance</w:t>
            </w:r>
          </w:p>
        </w:tc>
        <w:tc>
          <w:tcPr>
            <w:tcW w:type="dxa" w:w="4896"/>
          </w:tcPr>
          <w:p>
            <w:pPr>
              <w:spacing w:after="20"/>
            </w:pPr>
            <w:r>
              <w:rPr>
                <w:color w:val="2E3B38"/>
                <w:sz w:val="18"/>
              </w:rPr>
              <w:t>$</w:t>
            </w:r>
          </w:p>
        </w:tc>
      </w:tr>
      <w:tr>
        <w:tc>
          <w:tcPr>
            <w:tcW w:type="dxa" w:w="4896"/>
            <w:shd w:val="clear" w:fill="F7F6F3"/>
          </w:tcPr>
          <w:p>
            <w:pPr>
              <w:spacing w:after="20"/>
            </w:pPr>
            <w:r>
              <w:rPr>
                <w:color w:val="2E3B38"/>
                <w:sz w:val="18"/>
              </w:rPr>
              <w:t>Advances — utilities, securing, preservation</w:t>
            </w:r>
          </w:p>
        </w:tc>
        <w:tc>
          <w:tcPr>
            <w:tcW w:type="dxa" w:w="4896"/>
            <w:shd w:val="clear" w:fill="F7F6F3"/>
          </w:tcPr>
          <w:p>
            <w:pPr>
              <w:spacing w:after="20"/>
            </w:pPr>
            <w:r>
              <w:rPr>
                <w:color w:val="2E3B38"/>
                <w:sz w:val="18"/>
              </w:rPr>
              <w:t>$</w:t>
            </w:r>
          </w:p>
        </w:tc>
      </w:tr>
      <w:tr>
        <w:tc>
          <w:tcPr>
            <w:tcW w:type="dxa" w:w="4896"/>
          </w:tcPr>
          <w:p>
            <w:pPr>
              <w:spacing w:after="20"/>
            </w:pPr>
            <w:r>
              <w:rPr>
                <w:color w:val="2E3B38"/>
                <w:sz w:val="18"/>
              </w:rPr>
              <w:t>Fees, costs, legal</w:t>
            </w:r>
          </w:p>
        </w:tc>
        <w:tc>
          <w:tcPr>
            <w:tcW w:type="dxa" w:w="4896"/>
          </w:tcPr>
          <w:p>
            <w:pPr>
              <w:spacing w:after="20"/>
            </w:pPr>
            <w:r>
              <w:rPr>
                <w:color w:val="2E3B38"/>
                <w:sz w:val="18"/>
              </w:rPr>
              <w:t>$</w:t>
            </w:r>
          </w:p>
        </w:tc>
      </w:tr>
      <w:tr>
        <w:tc>
          <w:tcPr>
            <w:tcW w:type="dxa" w:w="4896"/>
            <w:shd w:val="clear" w:fill="F7F6F3"/>
          </w:tcPr>
          <w:p>
            <w:pPr>
              <w:spacing w:after="20"/>
            </w:pPr>
            <w:r>
              <w:rPr>
                <w:b/>
                <w:color w:val="1E3C36"/>
                <w:sz w:val="18"/>
              </w:rPr>
              <w:t>TOTAL DEBT</w:t>
            </w:r>
          </w:p>
        </w:tc>
        <w:tc>
          <w:tcPr>
            <w:tcW w:type="dxa" w:w="4896"/>
            <w:shd w:val="clear" w:fill="F7F6F3"/>
          </w:tcPr>
          <w:p>
            <w:pPr>
              <w:spacing w:after="20"/>
            </w:pPr>
            <w:r>
              <w:rPr>
                <w:b/>
                <w:color w:val="1E3C36"/>
                <w:sz w:val="18"/>
              </w:rPr>
              <w:t>$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color w:val="2E3B38"/>
          <w:sz w:val="21"/>
        </w:rPr>
        <w:t xml:space="preserve">☐ Itemized statement prepared and saved to the deal folder </w:t>
      </w:r>
      <w:r>
        <w:rPr>
          <w:i/>
          <w:color w:val="6B7A75"/>
          <w:sz w:val="21"/>
        </w:rPr>
        <w:t>(becomes Exhibit B to the Settlement Agreement)</w:t>
      </w:r>
    </w:p>
    <w:p>
      <w:pPr>
        <w:spacing w:after="120"/>
        <w:pBdr>
          <w:bottom w:val="single" w:sz="4" w:space="3" w:color="DFD8C8"/>
        </w:pBdr>
      </w:pPr>
    </w:p>
    <w:p>
      <w:pPr>
        <w:spacing w:before="260" w:after="80"/>
        <w:pBdr>
          <w:bottom w:val="single" w:sz="4" w:space="3" w:color="DFD8C8"/>
        </w:pBdr>
      </w:pPr>
      <w:r>
        <w:rPr>
          <w:rFonts w:ascii="Century Gothic" w:hAnsi="Century Gothic"/>
          <w:b/>
          <w:color w:val="1E3C36"/>
          <w:sz w:val="18"/>
        </w:rPr>
        <w:t>2. VALUE TEST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  <w:shd w:val="clear" w:fill="1E3C36"/>
          </w:tcPr>
          <w:p>
            <w:pPr>
              <w:spacing w:after="20"/>
            </w:pPr>
            <w:r>
              <w:rPr>
                <w:rFonts w:ascii="Century Gothic" w:hAnsi="Century Gothic"/>
                <w:b/>
                <w:color w:val="F0EADE"/>
                <w:sz w:val="15"/>
              </w:rPr>
              <w:t>INPUT</w:t>
            </w:r>
          </w:p>
        </w:tc>
        <w:tc>
          <w:tcPr>
            <w:tcW w:type="dxa" w:w="3264"/>
            <w:shd w:val="clear" w:fill="1E3C36"/>
          </w:tcPr>
          <w:p>
            <w:pPr>
              <w:spacing w:after="20"/>
            </w:pPr>
            <w:r>
              <w:rPr>
                <w:rFonts w:ascii="Century Gothic" w:hAnsi="Century Gothic"/>
                <w:b/>
                <w:color w:val="F0EADE"/>
                <w:sz w:val="15"/>
              </w:rPr>
              <w:t>AMOUNT</w:t>
            </w:r>
          </w:p>
        </w:tc>
        <w:tc>
          <w:tcPr>
            <w:tcW w:type="dxa" w:w="3264"/>
            <w:shd w:val="clear" w:fill="1E3C36"/>
          </w:tcPr>
          <w:p>
            <w:pPr>
              <w:spacing w:after="20"/>
            </w:pPr>
            <w:r>
              <w:rPr>
                <w:rFonts w:ascii="Century Gothic" w:hAnsi="Century Gothic"/>
                <w:b/>
                <w:color w:val="F0EADE"/>
                <w:sz w:val="15"/>
              </w:rPr>
              <w:t>BASIS</w:t>
            </w:r>
          </w:p>
        </w:tc>
      </w:tr>
      <w:tr>
        <w:tc>
          <w:tcPr>
            <w:tcW w:type="dxa" w:w="3264"/>
            <w:shd w:val="clear" w:fill="F7F6F3"/>
          </w:tcPr>
          <w:p>
            <w:pPr>
              <w:spacing w:after="20"/>
            </w:pPr>
            <w:r>
              <w:rPr>
                <w:color w:val="2E3B38"/>
                <w:sz w:val="18"/>
              </w:rPr>
              <w:t>As-is value</w:t>
            </w:r>
          </w:p>
        </w:tc>
        <w:tc>
          <w:tcPr>
            <w:tcW w:type="dxa" w:w="3264"/>
            <w:shd w:val="clear" w:fill="F7F6F3"/>
          </w:tcPr>
          <w:p>
            <w:pPr>
              <w:spacing w:after="20"/>
            </w:pPr>
            <w:r>
              <w:rPr>
                <w:color w:val="2E3B38"/>
                <w:sz w:val="18"/>
              </w:rPr>
              <w:t>$</w:t>
            </w:r>
          </w:p>
        </w:tc>
        <w:tc>
          <w:tcPr>
            <w:tcW w:type="dxa" w:w="3264"/>
            <w:shd w:val="clear" w:fill="F7F6F3"/>
          </w:tcPr>
          <w:p>
            <w:pPr>
              <w:spacing w:after="20"/>
            </w:pPr>
          </w:p>
        </w:tc>
      </w:tr>
      <w:tr>
        <w:tc>
          <w:tcPr>
            <w:tcW w:type="dxa" w:w="3264"/>
          </w:tcPr>
          <w:p>
            <w:pPr>
              <w:spacing w:after="20"/>
            </w:pPr>
            <w:r>
              <w:rPr>
                <w:color w:val="2E3B38"/>
                <w:sz w:val="18"/>
              </w:rPr>
              <w:t>Cost to complete</w:t>
            </w:r>
          </w:p>
        </w:tc>
        <w:tc>
          <w:tcPr>
            <w:tcW w:type="dxa" w:w="3264"/>
          </w:tcPr>
          <w:p>
            <w:pPr>
              <w:spacing w:after="20"/>
            </w:pPr>
            <w:r>
              <w:rPr>
                <w:color w:val="2E3B38"/>
                <w:sz w:val="18"/>
              </w:rPr>
              <w:t>$</w:t>
            </w:r>
          </w:p>
        </w:tc>
        <w:tc>
          <w:tcPr>
            <w:tcW w:type="dxa" w:w="3264"/>
          </w:tcPr>
          <w:p>
            <w:pPr>
              <w:spacing w:after="20"/>
            </w:pPr>
          </w:p>
        </w:tc>
      </w:tr>
      <w:tr>
        <w:tc>
          <w:tcPr>
            <w:tcW w:type="dxa" w:w="3264"/>
            <w:shd w:val="clear" w:fill="F7F6F3"/>
          </w:tcPr>
          <w:p>
            <w:pPr>
              <w:spacing w:after="20"/>
            </w:pPr>
            <w:r>
              <w:rPr>
                <w:color w:val="2E3B38"/>
                <w:sz w:val="18"/>
              </w:rPr>
              <w:t>Est. carrying costs to sale</w:t>
            </w:r>
          </w:p>
        </w:tc>
        <w:tc>
          <w:tcPr>
            <w:tcW w:type="dxa" w:w="3264"/>
            <w:shd w:val="clear" w:fill="F7F6F3"/>
          </w:tcPr>
          <w:p>
            <w:pPr>
              <w:spacing w:after="20"/>
            </w:pPr>
            <w:r>
              <w:rPr>
                <w:color w:val="2E3B38"/>
                <w:sz w:val="18"/>
              </w:rPr>
              <w:t>$</w:t>
            </w:r>
          </w:p>
        </w:tc>
        <w:tc>
          <w:tcPr>
            <w:tcW w:type="dxa" w:w="3264"/>
            <w:shd w:val="clear" w:fill="F7F6F3"/>
          </w:tcPr>
          <w:p>
            <w:pPr>
              <w:spacing w:after="20"/>
            </w:pPr>
          </w:p>
        </w:tc>
      </w:tr>
      <w:tr>
        <w:tc>
          <w:tcPr>
            <w:tcW w:type="dxa" w:w="3264"/>
          </w:tcPr>
          <w:p>
            <w:pPr>
              <w:spacing w:after="20"/>
            </w:pPr>
            <w:r>
              <w:rPr>
                <w:color w:val="2E3B38"/>
                <w:sz w:val="18"/>
              </w:rPr>
              <w:t>Est. selling costs</w:t>
            </w:r>
          </w:p>
        </w:tc>
        <w:tc>
          <w:tcPr>
            <w:tcW w:type="dxa" w:w="3264"/>
          </w:tcPr>
          <w:p>
            <w:pPr>
              <w:spacing w:after="20"/>
            </w:pPr>
            <w:r>
              <w:rPr>
                <w:color w:val="2E3B38"/>
                <w:sz w:val="18"/>
              </w:rPr>
              <w:t>$</w:t>
            </w:r>
          </w:p>
        </w:tc>
        <w:tc>
          <w:tcPr>
            <w:tcW w:type="dxa" w:w="3264"/>
          </w:tcPr>
          <w:p>
            <w:pPr>
              <w:spacing w:after="20"/>
            </w:pPr>
          </w:p>
        </w:tc>
      </w:tr>
    </w:tbl>
    <w:p>
      <w:pPr>
        <w:spacing w:after="80"/>
      </w:pPr>
    </w:p>
    <w:p>
      <w:pPr>
        <w:spacing w:after="120"/>
      </w:pPr>
      <w:r>
        <w:rPr>
          <w:color w:val="2E3B38"/>
          <w:sz w:val="21"/>
        </w:rPr>
        <w:t>☐ As-is value determined in house — comps pulled and saved to the deal folder</w:t>
      </w:r>
    </w:p>
    <w:p>
      <w:pPr>
        <w:spacing w:after="120"/>
      </w:pPr>
      <w:r>
        <w:rPr>
          <w:color w:val="2E3B38"/>
          <w:sz w:val="21"/>
        </w:rPr>
        <w:t>☐ Cost to complete estimated in house, against the remaining scope of work</w:t>
      </w:r>
    </w:p>
    <w:p>
      <w:pPr>
        <w:spacing w:after="120"/>
      </w:pPr>
      <w:r>
        <w:rPr>
          <w:color w:val="2E3B38"/>
          <w:sz w:val="21"/>
        </w:rPr>
        <w:t>☐ Both figures documented in writing, with the basis stated — not just a number</w:t>
      </w:r>
    </w:p>
    <w:p>
      <w:pPr>
        <w:spacing w:after="120"/>
      </w:pPr>
      <w:r>
        <w:rPr>
          <w:color w:val="2E3B38"/>
          <w:sz w:val="21"/>
        </w:rPr>
        <w:t>☐ Photo and video documentation of current condition, timestamped, room by room</w:t>
      </w:r>
    </w:p>
    <w:p>
      <w:pPr>
        <w:spacing w:after="120"/>
      </w:pPr>
      <w:r>
        <w:rPr>
          <w:b/>
          <w:color w:val="1E3C36"/>
          <w:sz w:val="21"/>
        </w:rPr>
        <w:t>As-is value minus Total Debt = $__________</w:t>
      </w:r>
    </w:p>
    <w:p>
      <w:pPr>
        <w:pStyle w:val="ListBullet"/>
        <w:spacing w:after="60"/>
      </w:pPr>
      <w:r>
        <w:rPr>
          <w:b/>
          <w:color w:val="1E3C36"/>
          <w:sz w:val="21"/>
        </w:rPr>
        <w:t>Negative or near zero</w:t>
      </w:r>
      <w:r>
        <w:rPr>
          <w:color w:val="2E3B38"/>
          <w:sz w:val="21"/>
        </w:rPr>
        <w:t xml:space="preserve"> → deed in lieu is appropriate</w:t>
      </w:r>
    </w:p>
    <w:p>
      <w:pPr>
        <w:pStyle w:val="ListBullet"/>
        <w:spacing w:after="60"/>
      </w:pPr>
      <w:r>
        <w:rPr>
          <w:b/>
          <w:color w:val="1E3C36"/>
          <w:sz w:val="21"/>
        </w:rPr>
        <w:t>Modest positive</w:t>
      </w:r>
      <w:r>
        <w:rPr>
          <w:color w:val="2E3B38"/>
          <w:sz w:val="21"/>
        </w:rPr>
        <w:t xml:space="preserve"> → acceptable with the true-up in place</w:t>
      </w:r>
    </w:p>
    <w:p>
      <w:pPr>
        <w:pStyle w:val="ListBullet"/>
        <w:spacing w:after="60"/>
      </w:pPr>
      <w:r>
        <w:rPr>
          <w:b/>
          <w:color w:val="1E3C36"/>
          <w:sz w:val="21"/>
        </w:rPr>
        <w:t>Large positive</w:t>
      </w:r>
      <w:r>
        <w:rPr>
          <w:color w:val="2E3B38"/>
          <w:sz w:val="21"/>
        </w:rPr>
        <w:t xml:space="preserve"> → </w:t>
      </w:r>
      <w:r>
        <w:rPr>
          <w:b/>
          <w:color w:val="1E3C36"/>
          <w:sz w:val="21"/>
        </w:rPr>
        <w:t>HARD STOP.</w:t>
      </w:r>
      <w:r>
        <w:rPr>
          <w:color w:val="2E3B38"/>
          <w:sz w:val="21"/>
        </w:rPr>
        <w:t xml:space="preserve"> Foreclose. A foreclosure sale establishes reasonably equivalent value as a matter of law; a private conveyance does not.</w:t>
      </w:r>
    </w:p>
    <w:p>
      <w:pPr>
        <w:spacing w:after="120"/>
      </w:pPr>
      <w:r>
        <w:rPr>
          <w:color w:val="2E3B38"/>
          <w:sz w:val="21"/>
        </w:rPr>
        <w:t>☐ Value test result reviewed by both Managers</w:t>
      </w:r>
    </w:p>
    <w:p>
      <w:pPr>
        <w:spacing w:after="120"/>
        <w:pBdr>
          <w:bottom w:val="single" w:sz="4" w:space="3" w:color="DFD8C8"/>
        </w:pBdr>
      </w:pPr>
    </w:p>
    <w:p>
      <w:pPr>
        <w:spacing w:before="260" w:after="80"/>
        <w:pBdr>
          <w:bottom w:val="single" w:sz="4" w:space="3" w:color="DFD8C8"/>
        </w:pBdr>
      </w:pPr>
      <w:r>
        <w:rPr>
          <w:rFonts w:ascii="Century Gothic" w:hAnsi="Century Gothic"/>
          <w:b/>
          <w:color w:val="1E3C36"/>
          <w:sz w:val="18"/>
        </w:rPr>
        <w:t>3. CREDITOR &amp; BANKRUPTCY SCREEN</w:t>
      </w:r>
    </w:p>
    <w:p>
      <w:pPr>
        <w:spacing w:after="120"/>
      </w:pPr>
      <w:r>
        <w:rPr>
          <w:color w:val="2E3B38"/>
          <w:sz w:val="21"/>
        </w:rPr>
        <w:t>☐ Borrower has no other stalled or defaulted projects known to us</w:t>
      </w:r>
    </w:p>
    <w:p>
      <w:pPr>
        <w:spacing w:after="120"/>
      </w:pPr>
      <w:r>
        <w:rPr>
          <w:color w:val="2E3B38"/>
          <w:sz w:val="21"/>
        </w:rPr>
        <w:t>☐ No other lender, judgment creditor, or collection action pressuring Borrower</w:t>
      </w:r>
    </w:p>
    <w:p>
      <w:pPr>
        <w:spacing w:after="120"/>
      </w:pPr>
      <w:r>
        <w:rPr>
          <w:color w:val="2E3B38"/>
          <w:sz w:val="21"/>
        </w:rPr>
        <w:t>☐ No bankruptcy filed by or against Borrower or any Guarantor</w:t>
      </w:r>
    </w:p>
    <w:p>
      <w:pPr>
        <w:spacing w:after="120"/>
      </w:pPr>
      <w:r>
        <w:rPr>
          <w:color w:val="2E3B38"/>
          <w:sz w:val="21"/>
        </w:rPr>
        <w:t>☐ Borrower has not stated or implied any intent to file</w:t>
      </w:r>
    </w:p>
    <w:p>
      <w:pPr>
        <w:spacing w:after="120"/>
      </w:pPr>
      <w:r>
        <w:rPr>
          <w:color w:val="2E3B38"/>
          <w:sz w:val="21"/>
        </w:rPr>
        <w:t>☐ No assignment for benefit of creditors, receivership, or dissolution</w:t>
      </w:r>
    </w:p>
    <w:p>
      <w:pPr>
        <w:spacing w:after="120"/>
      </w:pPr>
      <w:r>
        <w:rPr>
          <w:b/>
          <w:color w:val="1E3C36"/>
          <w:sz w:val="21"/>
        </w:rPr>
        <w:t>Any of the above unclear or adverse → HARD STOP.</w:t>
      </w:r>
      <w:r>
        <w:rPr>
          <w:color w:val="2E3B38"/>
          <w:sz w:val="21"/>
        </w:rPr>
        <w:t xml:space="preserve"> The 90-day preference window and the 2-to-4-year fraudulent transfer window run against us. Foreclose instead.</w:t>
      </w:r>
    </w:p>
    <w:p>
      <w:pPr>
        <w:spacing w:after="120"/>
        <w:pBdr>
          <w:bottom w:val="single" w:sz="4" w:space="3" w:color="DFD8C8"/>
        </w:pBdr>
      </w:pPr>
    </w:p>
    <w:p>
      <w:pPr>
        <w:spacing w:before="260" w:after="80"/>
        <w:pBdr>
          <w:bottom w:val="single" w:sz="4" w:space="3" w:color="DFD8C8"/>
        </w:pBdr>
      </w:pPr>
      <w:r>
        <w:rPr>
          <w:rFonts w:ascii="Century Gothic" w:hAnsi="Century Gothic"/>
          <w:b/>
          <w:color w:val="1E3C36"/>
          <w:sz w:val="18"/>
        </w:rPr>
        <w:t>4. TITLE &amp; LIENS</w:t>
      </w:r>
    </w:p>
    <w:p>
      <w:pPr>
        <w:spacing w:after="120"/>
      </w:pPr>
      <w:r>
        <w:rPr>
          <w:color w:val="2E3B38"/>
          <w:sz w:val="21"/>
        </w:rPr>
        <w:t xml:space="preserve">☐ </w:t>
      </w:r>
      <w:r>
        <w:rPr>
          <w:b/>
          <w:color w:val="1E3C36"/>
          <w:sz w:val="21"/>
        </w:rPr>
        <w:t>Current lien search ordered and reviewed</w:t>
      </w:r>
      <w:r>
        <w:rPr>
          <w:color w:val="2E3B38"/>
          <w:sz w:val="21"/>
        </w:rPr>
        <w:t xml:space="preserve"> — dated within 10 days, not the closing commitment</w:t>
      </w:r>
    </w:p>
    <w:p>
      <w:pPr>
        <w:spacing w:after="120"/>
      </w:pPr>
      <w:r>
        <w:rPr>
          <w:i/>
          <w:color w:val="6B7A75"/>
          <w:sz w:val="21"/>
        </w:rPr>
        <w:t>Source (circle): independent abstractor · attorney's office · direct county clerk + district clerk search</w:t>
      </w:r>
    </w:p>
    <w:p>
      <w:pPr>
        <w:spacing w:after="120"/>
      </w:pPr>
      <w:r>
        <w:rPr>
          <w:i/>
          <w:color w:val="6B7A75"/>
          <w:sz w:val="21"/>
        </w:rPr>
        <w:t>Must cover: deeds, deeds of trust, mechanic's liens, tax liens, abstracts of judgment, lis pendens, HOA assessments</w:t>
      </w:r>
    </w:p>
    <w:p>
      <w:pPr>
        <w:spacing w:after="120"/>
      </w:pPr>
      <w:r>
        <w:rPr>
          <w:color w:val="2E3B38"/>
          <w:sz w:val="21"/>
        </w:rPr>
        <w:t>☐ Every lien, judgment, and encumbrance identified and listed</w:t>
      </w:r>
    </w:p>
    <w:p>
      <w:pPr>
        <w:spacing w:after="120"/>
      </w:pPr>
      <w:r>
        <w:rPr>
          <w:color w:val="2E3B38"/>
          <w:sz w:val="21"/>
        </w:rPr>
        <w:t>☐ Ad valorem taxes current, or amount owed known</w:t>
      </w:r>
    </w:p>
    <w:p>
      <w:pPr>
        <w:spacing w:after="120"/>
      </w:pPr>
      <w:r>
        <w:rPr>
          <w:color w:val="2E3B38"/>
          <w:sz w:val="21"/>
        </w:rPr>
        <w:t>☐ HOA dues current, or amount owed known</w:t>
      </w:r>
    </w:p>
    <w:p>
      <w:pPr>
        <w:spacing w:after="120"/>
      </w:pPr>
      <w:r>
        <w:rPr>
          <w:b/>
          <w:color w:val="1E3C36"/>
          <w:sz w:val="21"/>
        </w:rPr>
        <w:t>Mechanic's lien priority — Texas Property Code Ch. 53:</w:t>
      </w:r>
    </w:p>
    <w:p>
      <w:pPr>
        <w:spacing w:after="120"/>
      </w:pPr>
      <w:r>
        <w:rPr>
          <w:color w:val="2E3B38"/>
          <w:sz w:val="21"/>
        </w:rPr>
        <w:t>☐ Inception-of-work date determined: __________</w:t>
      </w:r>
    </w:p>
    <w:p>
      <w:pPr>
        <w:spacing w:after="120"/>
      </w:pPr>
      <w:r>
        <w:rPr>
          <w:color w:val="2E3B38"/>
          <w:sz w:val="21"/>
        </w:rPr>
        <w:t>☐ Deed of Trust recording date: __________</w:t>
      </w:r>
    </w:p>
    <w:p>
      <w:pPr>
        <w:spacing w:after="120"/>
      </w:pPr>
      <w:r>
        <w:rPr>
          <w:color w:val="2E3B38"/>
          <w:sz w:val="21"/>
        </w:rPr>
        <w:t xml:space="preserve">☐ </w:t>
      </w:r>
      <w:r>
        <w:rPr>
          <w:b/>
          <w:color w:val="1E3C36"/>
          <w:sz w:val="21"/>
        </w:rPr>
        <w:t>Confirmed that no work commenced and no materials were delivered before our Deed of Trust was recorded</w:t>
      </w:r>
    </w:p>
    <w:p>
      <w:pPr>
        <w:spacing w:after="100"/>
        <w:ind w:left="317"/>
      </w:pPr>
      <w:r>
        <w:rPr>
          <w:color w:val="6B7A75"/>
          <w:sz w:val="19"/>
        </w:rPr>
        <w:t xml:space="preserve">Texas mechanic's liens relate back to inception of work, not filing date. A lien filed after our Deed of Trust may still prime it if work began first. Foreclosing our lien will </w:t>
      </w:r>
      <w:r>
        <w:rPr>
          <w:b/>
          <w:color w:val="1E3C36"/>
          <w:sz w:val="19"/>
        </w:rPr>
        <w:t>not</w:t>
      </w:r>
      <w:r>
        <w:rPr>
          <w:color w:val="6B7A75"/>
          <w:sz w:val="19"/>
        </w:rPr>
        <w:t xml:space="preserve"> clear a lien with earlier inception.</w:t>
      </w:r>
    </w:p>
    <w:p>
      <w:pPr>
        <w:spacing w:after="120"/>
      </w:pPr>
      <w:r>
        <w:rPr>
          <w:color w:val="2E3B38"/>
          <w:sz w:val="21"/>
        </w:rPr>
        <w:t>☐ All known Chapter 53 notices collected and reviewed</w:t>
      </w:r>
    </w:p>
    <w:p>
      <w:pPr>
        <w:spacing w:after="120"/>
      </w:pPr>
      <w:r>
        <w:rPr>
          <w:b/>
          <w:color w:val="1E3C36"/>
          <w:sz w:val="21"/>
        </w:rPr>
        <w:t>Junior lien plan</w:t>
      </w:r>
      <w:r>
        <w:rPr>
          <w:color w:val="2E3B38"/>
          <w:sz w:val="21"/>
        </w:rPr>
        <w:t xml:space="preserve"> — for each junior lien, choose one: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  <w:shd w:val="clear" w:fill="1E3C36"/>
          </w:tcPr>
          <w:p>
            <w:pPr>
              <w:spacing w:after="20"/>
            </w:pPr>
            <w:r>
              <w:rPr>
                <w:rFonts w:ascii="Century Gothic" w:hAnsi="Century Gothic"/>
                <w:b/>
                <w:color w:val="F0EADE"/>
                <w:sz w:val="15"/>
              </w:rPr>
              <w:t>LIEN</w:t>
            </w:r>
          </w:p>
        </w:tc>
        <w:tc>
          <w:tcPr>
            <w:tcW w:type="dxa" w:w="3264"/>
            <w:shd w:val="clear" w:fill="1E3C36"/>
          </w:tcPr>
          <w:p>
            <w:pPr>
              <w:spacing w:after="20"/>
            </w:pPr>
            <w:r>
              <w:rPr>
                <w:rFonts w:ascii="Century Gothic" w:hAnsi="Century Gothic"/>
                <w:b/>
                <w:color w:val="F0EADE"/>
                <w:sz w:val="15"/>
              </w:rPr>
              <w:t>AMOUNT</w:t>
            </w:r>
          </w:p>
        </w:tc>
        <w:tc>
          <w:tcPr>
            <w:tcW w:type="dxa" w:w="3264"/>
            <w:shd w:val="clear" w:fill="1E3C36"/>
          </w:tcPr>
          <w:p>
            <w:pPr>
              <w:spacing w:after="20"/>
            </w:pPr>
            <w:r>
              <w:rPr>
                <w:rFonts w:ascii="Century Gothic" w:hAnsi="Century Gothic"/>
                <w:b/>
                <w:color w:val="F0EADE"/>
                <w:sz w:val="15"/>
              </w:rPr>
              <w:t>BOND / PAY / FORECLOSE OUT / DECLINE DEED</w:t>
            </w:r>
          </w:p>
        </w:tc>
      </w:tr>
      <w:tr>
        <w:tc>
          <w:tcPr>
            <w:tcW w:type="dxa" w:w="3264"/>
            <w:shd w:val="clear" w:fill="F7F6F3"/>
          </w:tcPr>
          <w:p>
            <w:pPr>
              <w:spacing w:after="20"/>
            </w:pPr>
          </w:p>
        </w:tc>
        <w:tc>
          <w:tcPr>
            <w:tcW w:type="dxa" w:w="3264"/>
            <w:shd w:val="clear" w:fill="F7F6F3"/>
          </w:tcPr>
          <w:p>
            <w:pPr>
              <w:spacing w:after="20"/>
            </w:pPr>
          </w:p>
        </w:tc>
        <w:tc>
          <w:tcPr>
            <w:tcW w:type="dxa" w:w="3264"/>
            <w:shd w:val="clear" w:fill="F7F6F3"/>
          </w:tcPr>
          <w:p>
            <w:pPr>
              <w:spacing w:after="20"/>
            </w:pPr>
          </w:p>
        </w:tc>
      </w:tr>
      <w:tr>
        <w:tc>
          <w:tcPr>
            <w:tcW w:type="dxa" w:w="3264"/>
          </w:tcPr>
          <w:p>
            <w:pPr>
              <w:spacing w:after="20"/>
            </w:pPr>
          </w:p>
        </w:tc>
        <w:tc>
          <w:tcPr>
            <w:tcW w:type="dxa" w:w="3264"/>
          </w:tcPr>
          <w:p>
            <w:pPr>
              <w:spacing w:after="20"/>
            </w:pPr>
          </w:p>
        </w:tc>
        <w:tc>
          <w:tcPr>
            <w:tcW w:type="dxa" w:w="3264"/>
          </w:tcPr>
          <w:p>
            <w:pPr>
              <w:spacing w:after="20"/>
            </w:pPr>
          </w:p>
        </w:tc>
      </w:tr>
    </w:tbl>
    <w:p>
      <w:pPr>
        <w:spacing w:after="80"/>
      </w:pPr>
    </w:p>
    <w:p>
      <w:pPr>
        <w:spacing w:after="120"/>
      </w:pPr>
      <w:r>
        <w:rPr>
          <w:b/>
          <w:color w:val="1E3C36"/>
          <w:sz w:val="21"/>
        </w:rPr>
        <w:t>Any lien with inception before our Deed of Trust → HARD STOP.</w:t>
      </w:r>
      <w:r>
        <w:rPr>
          <w:color w:val="2E3B38"/>
          <w:sz w:val="21"/>
        </w:rPr>
        <w:t xml:space="preserve"> Foreclosure will not clear it either, but do not compound the problem by taking title to it.</w:t>
      </w:r>
    </w:p>
    <w:p>
      <w:pPr>
        <w:spacing w:after="120"/>
        <w:pBdr>
          <w:bottom w:val="single" w:sz="4" w:space="3" w:color="DFD8C8"/>
        </w:pBdr>
      </w:pPr>
    </w:p>
    <w:p>
      <w:pPr>
        <w:spacing w:before="260" w:after="80"/>
        <w:pBdr>
          <w:bottom w:val="single" w:sz="4" w:space="3" w:color="DFD8C8"/>
        </w:pBdr>
      </w:pPr>
      <w:r>
        <w:rPr>
          <w:rFonts w:ascii="Century Gothic" w:hAnsi="Century Gothic"/>
          <w:b/>
          <w:color w:val="1E3C36"/>
          <w:sz w:val="18"/>
        </w:rPr>
        <w:t>5. PROPERTY CONDITION</w:t>
      </w:r>
    </w:p>
    <w:p>
      <w:pPr>
        <w:spacing w:after="120"/>
      </w:pPr>
      <w:r>
        <w:rPr>
          <w:color w:val="2E3B38"/>
          <w:sz w:val="21"/>
        </w:rPr>
        <w:t>☐ Property inspected in person by a Manager within the last 7 days</w:t>
      </w:r>
    </w:p>
    <w:p>
      <w:pPr>
        <w:spacing w:after="120"/>
      </w:pPr>
      <w:r>
        <w:rPr>
          <w:color w:val="2E3B38"/>
          <w:sz w:val="21"/>
        </w:rPr>
        <w:t>☐ Property secured — locks, boarding, utilities status known</w:t>
      </w:r>
    </w:p>
    <w:p>
      <w:pPr>
        <w:spacing w:after="120"/>
      </w:pPr>
      <w:r>
        <w:rPr>
          <w:color w:val="2E3B38"/>
          <w:sz w:val="21"/>
        </w:rPr>
        <w:t>☐ No open code violations, stop-work orders, or permit revocations, or plan in place to resolve</w:t>
      </w:r>
    </w:p>
    <w:p>
      <w:pPr>
        <w:spacing w:after="120"/>
      </w:pPr>
      <w:r>
        <w:rPr>
          <w:color w:val="2E3B38"/>
          <w:sz w:val="21"/>
        </w:rPr>
        <w:t>☐ No known environmental condition</w:t>
      </w:r>
    </w:p>
    <w:p>
      <w:pPr>
        <w:spacing w:after="120"/>
      </w:pPr>
      <w:r>
        <w:rPr>
          <w:color w:val="2E3B38"/>
          <w:sz w:val="21"/>
        </w:rPr>
        <w:t>☐ No occupants, tenants, or squatters</w:t>
      </w:r>
    </w:p>
    <w:p>
      <w:pPr>
        <w:spacing w:after="120"/>
      </w:pPr>
      <w:r>
        <w:rPr>
          <w:color w:val="2E3B38"/>
          <w:sz w:val="21"/>
        </w:rPr>
        <w:t>☐ Insurance quote obtained for a vacant/renovation policy in Lazy Dog's name, effective the recording date</w:t>
      </w:r>
    </w:p>
    <w:p>
      <w:pPr>
        <w:spacing w:after="120"/>
        <w:pBdr>
          <w:bottom w:val="single" w:sz="4" w:space="3" w:color="DFD8C8"/>
        </w:pBdr>
      </w:pPr>
    </w:p>
    <w:p>
      <w:pPr>
        <w:spacing w:before="260" w:after="80"/>
        <w:pBdr>
          <w:bottom w:val="single" w:sz="4" w:space="3" w:color="DFD8C8"/>
        </w:pBdr>
      </w:pPr>
      <w:r>
        <w:rPr>
          <w:rFonts w:ascii="Century Gothic" w:hAnsi="Century Gothic"/>
          <w:b/>
          <w:color w:val="1E3C36"/>
          <w:sz w:val="18"/>
        </w:rPr>
        <w:t>6. CAPITAL PARTNER</w:t>
      </w:r>
    </w:p>
    <w:p>
      <w:pPr>
        <w:spacing w:after="120"/>
      </w:pPr>
      <w:r>
        <w:rPr>
          <w:color w:val="2E3B38"/>
          <w:sz w:val="21"/>
        </w:rPr>
        <w:t xml:space="preserve">☐ Loan is / is not collaterally assigned to a Capital Partner </w:t>
      </w:r>
      <w:r>
        <w:rPr>
          <w:i/>
          <w:color w:val="6B7A75"/>
          <w:sz w:val="21"/>
        </w:rPr>
        <w:t>(circle one)</w:t>
      </w:r>
    </w:p>
    <w:p>
      <w:pPr>
        <w:spacing w:after="120"/>
      </w:pPr>
      <w:r>
        <w:rPr>
          <w:color w:val="2E3B38"/>
          <w:sz w:val="21"/>
        </w:rPr>
        <w:t>If assigned:</w:t>
      </w:r>
    </w:p>
    <w:p>
      <w:pPr>
        <w:spacing w:after="120"/>
      </w:pPr>
      <w:r>
        <w:rPr>
          <w:color w:val="2E3B38"/>
          <w:sz w:val="21"/>
        </w:rPr>
        <w:t>☐ Capital Partner notified of the default in writing</w:t>
      </w:r>
    </w:p>
    <w:p>
      <w:pPr>
        <w:spacing w:after="120"/>
      </w:pPr>
      <w:r>
        <w:rPr>
          <w:color w:val="2E3B38"/>
          <w:sz w:val="21"/>
        </w:rPr>
        <w:t xml:space="preserve">☐ </w:t>
      </w:r>
      <w:r>
        <w:rPr>
          <w:b/>
          <w:color w:val="1E3C36"/>
          <w:sz w:val="21"/>
        </w:rPr>
        <w:t>Capital Partner's written consent to accept the deed obtained and saved</w:t>
      </w:r>
    </w:p>
    <w:p>
      <w:pPr>
        <w:spacing w:after="120"/>
      </w:pPr>
      <w:r>
        <w:rPr>
          <w:color w:val="2E3B38"/>
          <w:sz w:val="21"/>
        </w:rPr>
        <w:t>☐ Capital Partner's continuing return and payoff expectations documented</w:t>
      </w:r>
    </w:p>
    <w:p>
      <w:pPr>
        <w:spacing w:after="100"/>
        <w:ind w:left="317"/>
      </w:pPr>
      <w:r>
        <w:rPr>
          <w:color w:val="6B7A75"/>
          <w:sz w:val="19"/>
        </w:rPr>
        <w:t>A conveyance affects the Note against which the collateral assignment runs. Do not accept a deed without written CP consent.</w:t>
      </w:r>
    </w:p>
    <w:p>
      <w:pPr>
        <w:spacing w:after="120"/>
        <w:pBdr>
          <w:bottom w:val="single" w:sz="4" w:space="3" w:color="DFD8C8"/>
        </w:pBdr>
      </w:pPr>
    </w:p>
    <w:p>
      <w:pPr>
        <w:spacing w:before="260" w:after="80"/>
        <w:pBdr>
          <w:bottom w:val="single" w:sz="4" w:space="3" w:color="DFD8C8"/>
        </w:pBdr>
      </w:pPr>
      <w:r>
        <w:rPr>
          <w:rFonts w:ascii="Century Gothic" w:hAnsi="Century Gothic"/>
          <w:b/>
          <w:color w:val="1E3C36"/>
          <w:sz w:val="18"/>
        </w:rPr>
        <w:t>7. BORROWER COOPERATION</w:t>
      </w:r>
    </w:p>
    <w:p>
      <w:pPr>
        <w:spacing w:after="120"/>
      </w:pPr>
      <w:r>
        <w:rPr>
          <w:color w:val="2E3B38"/>
          <w:sz w:val="21"/>
        </w:rPr>
        <w:t>☐ Borrower has approached us, or has responded willingly — we are not pressuring</w:t>
      </w:r>
    </w:p>
    <w:p>
      <w:pPr>
        <w:spacing w:after="120"/>
      </w:pPr>
      <w:r>
        <w:rPr>
          <w:color w:val="2E3B38"/>
          <w:sz w:val="21"/>
        </w:rPr>
        <w:t>☐ Borrower has been told to consult their own attorney</w:t>
      </w:r>
    </w:p>
    <w:p>
      <w:pPr>
        <w:spacing w:after="120"/>
      </w:pPr>
      <w:r>
        <w:rPr>
          <w:color w:val="2E3B38"/>
          <w:sz w:val="21"/>
        </w:rPr>
        <w:t>☐ Borrower has been told the deficiency waiver may create taxable cancellation-of-debt income and to consult their own tax advisor</w:t>
      </w:r>
    </w:p>
    <w:p>
      <w:pPr>
        <w:spacing w:after="120"/>
      </w:pPr>
      <w:r>
        <w:rPr>
          <w:color w:val="2E3B38"/>
          <w:sz w:val="21"/>
        </w:rPr>
        <w:t>☐ Borrower will complete and swear Schedule 1 of the Estoppel Affidavit in full</w:t>
      </w:r>
    </w:p>
    <w:p>
      <w:pPr>
        <w:spacing w:after="120"/>
      </w:pPr>
      <w:r>
        <w:rPr>
          <w:color w:val="2E3B38"/>
          <w:sz w:val="21"/>
        </w:rPr>
        <w:t>☐ Borrower will deliver keys, codes, plans, permits, and construction documents</w:t>
      </w:r>
    </w:p>
    <w:p>
      <w:pPr>
        <w:spacing w:after="120"/>
        <w:pBdr>
          <w:bottom w:val="single" w:sz="4" w:space="3" w:color="DFD8C8"/>
        </w:pBdr>
      </w:pPr>
    </w:p>
    <w:p>
      <w:pPr>
        <w:spacing w:before="260" w:after="80"/>
        <w:pBdr>
          <w:bottom w:val="single" w:sz="4" w:space="3" w:color="DFD8C8"/>
        </w:pBdr>
      </w:pPr>
      <w:r>
        <w:rPr>
          <w:rFonts w:ascii="Century Gothic" w:hAnsi="Century Gothic"/>
          <w:b/>
          <w:color w:val="1E3C36"/>
          <w:sz w:val="18"/>
        </w:rPr>
        <w:t>8. CONSIDERATION SELECTED</w:t>
      </w:r>
    </w:p>
    <w:p>
      <w:pPr>
        <w:spacing w:after="120"/>
      </w:pPr>
      <w:r>
        <w:rPr>
          <w:color w:val="2E3B38"/>
          <w:sz w:val="21"/>
        </w:rPr>
        <w:t xml:space="preserve">☐ Guarantee release </w:t>
      </w:r>
      <w:r>
        <w:rPr>
          <w:i/>
          <w:color w:val="6B7A75"/>
          <w:sz w:val="21"/>
        </w:rPr>
        <w:t>(normally yes)</w:t>
      </w:r>
    </w:p>
    <w:p>
      <w:pPr>
        <w:spacing w:after="120"/>
      </w:pPr>
      <w:r>
        <w:rPr>
          <w:color w:val="2E3B38"/>
          <w:sz w:val="21"/>
        </w:rPr>
        <w:t xml:space="preserve">☐ Deficiency waiver </w:t>
      </w:r>
      <w:r>
        <w:rPr>
          <w:i/>
          <w:color w:val="6B7A75"/>
          <w:sz w:val="21"/>
        </w:rPr>
        <w:t>(normally yes)</w:t>
      </w:r>
    </w:p>
    <w:p>
      <w:pPr>
        <w:spacing w:after="120"/>
      </w:pPr>
      <w:r>
        <w:rPr>
          <w:color w:val="2E3B38"/>
          <w:sz w:val="21"/>
        </w:rPr>
        <w:t>☐ Other: ________________________________</w:t>
      </w:r>
    </w:p>
    <w:p>
      <w:pPr>
        <w:spacing w:after="120"/>
      </w:pPr>
      <w:r>
        <w:rPr>
          <w:color w:val="2E3B38"/>
          <w:sz w:val="21"/>
        </w:rPr>
        <w:t xml:space="preserve">☐ Disposition fee set at _____% </w:t>
      </w:r>
      <w:r>
        <w:rPr>
          <w:i/>
          <w:color w:val="6B7A75"/>
          <w:sz w:val="21"/>
        </w:rPr>
        <w:t>(default 5%)</w:t>
      </w:r>
    </w:p>
    <w:p>
      <w:pPr>
        <w:spacing w:after="120"/>
      </w:pPr>
      <w:r>
        <w:rPr>
          <w:color w:val="2E3B38"/>
          <w:sz w:val="21"/>
        </w:rPr>
        <w:t>☐ True-up period confirmed at 12 months</w:t>
      </w:r>
    </w:p>
    <w:p>
      <w:pPr>
        <w:spacing w:after="120"/>
        <w:pBdr>
          <w:bottom w:val="single" w:sz="4" w:space="3" w:color="DFD8C8"/>
        </w:pBdr>
      </w:pPr>
    </w:p>
    <w:p>
      <w:pPr>
        <w:spacing w:before="260" w:after="80"/>
        <w:pBdr>
          <w:bottom w:val="single" w:sz="4" w:space="3" w:color="DFD8C8"/>
        </w:pBdr>
      </w:pPr>
      <w:r>
        <w:rPr>
          <w:rFonts w:ascii="Century Gothic" w:hAnsi="Century Gothic"/>
          <w:b/>
          <w:color w:val="1E3C36"/>
          <w:sz w:val="18"/>
        </w:rPr>
        <w:t>9. DOCUMENTS TO EXECUTE</w:t>
      </w:r>
    </w:p>
    <w:p>
      <w:pPr>
        <w:spacing w:after="120"/>
      </w:pPr>
      <w:r>
        <w:rPr>
          <w:color w:val="2E3B38"/>
          <w:sz w:val="21"/>
        </w:rPr>
        <w:t>☐ Settlement and Release Agreement</w:t>
      </w:r>
    </w:p>
    <w:p>
      <w:pPr>
        <w:spacing w:after="120"/>
      </w:pPr>
      <w:r>
        <w:rPr>
          <w:color w:val="2E3B38"/>
          <w:sz w:val="21"/>
        </w:rPr>
        <w:t xml:space="preserve">☐ Estoppel Affidavit with Schedule 1 completed — </w:t>
      </w:r>
      <w:r>
        <w:rPr>
          <w:b/>
          <w:color w:val="1E3C36"/>
          <w:sz w:val="21"/>
        </w:rPr>
        <w:t>sworn before a notary</w:t>
      </w:r>
    </w:p>
    <w:p>
      <w:pPr>
        <w:spacing w:after="120"/>
      </w:pPr>
      <w:r>
        <w:rPr>
          <w:color w:val="2E3B38"/>
          <w:sz w:val="21"/>
        </w:rPr>
        <w:t xml:space="preserve">☐ Special Warranty Deed in Lieu of Foreclosure — </w:t>
      </w:r>
      <w:r>
        <w:rPr>
          <w:b/>
          <w:color w:val="1E3C36"/>
          <w:sz w:val="21"/>
        </w:rPr>
        <w:t>original signature, notarized</w:t>
      </w:r>
    </w:p>
    <w:p>
      <w:pPr>
        <w:spacing w:after="120"/>
      </w:pPr>
      <w:r>
        <w:rPr>
          <w:color w:val="2E3B38"/>
          <w:sz w:val="21"/>
        </w:rPr>
        <w:t>☐ Bill of Sale and Assignment of Contracts, Permits, Plans and Warranties</w:t>
      </w:r>
    </w:p>
    <w:p>
      <w:pPr>
        <w:spacing w:after="120"/>
      </w:pPr>
      <w:r>
        <w:rPr>
          <w:color w:val="2E3B38"/>
          <w:sz w:val="21"/>
        </w:rPr>
        <w:t>☐ Itemized Total Debt statement attached as Exhibit B</w:t>
      </w:r>
    </w:p>
    <w:p>
      <w:pPr>
        <w:spacing w:after="120"/>
      </w:pPr>
      <w:r>
        <w:rPr>
          <w:color w:val="2E3B38"/>
          <w:sz w:val="21"/>
        </w:rPr>
        <w:t xml:space="preserve">☐ Legal description confirmed </w:t>
      </w:r>
      <w:r>
        <w:rPr>
          <w:b/>
          <w:color w:val="1E3C36"/>
          <w:sz w:val="21"/>
        </w:rPr>
        <w:t>identical</w:t>
      </w:r>
      <w:r>
        <w:rPr>
          <w:color w:val="2E3B38"/>
          <w:sz w:val="21"/>
        </w:rPr>
        <w:t xml:space="preserve"> to the recorded Deed of Trust</w:t>
      </w:r>
    </w:p>
    <w:p>
      <w:pPr>
        <w:spacing w:after="120"/>
        <w:pBdr>
          <w:bottom w:val="single" w:sz="4" w:space="3" w:color="DFD8C8"/>
        </w:pBdr>
      </w:pPr>
    </w:p>
    <w:p>
      <w:pPr>
        <w:spacing w:before="260" w:after="80"/>
        <w:pBdr>
          <w:bottom w:val="single" w:sz="4" w:space="3" w:color="DFD8C8"/>
        </w:pBdr>
      </w:pPr>
      <w:r>
        <w:rPr>
          <w:rFonts w:ascii="Century Gothic" w:hAnsi="Century Gothic"/>
          <w:b/>
          <w:color w:val="1E3C36"/>
          <w:sz w:val="18"/>
        </w:rPr>
        <w:t>10. AFTER ACCEPTANCE</w:t>
      </w:r>
    </w:p>
    <w:p>
      <w:pPr>
        <w:spacing w:after="120"/>
      </w:pPr>
      <w:r>
        <w:rPr>
          <w:color w:val="2E3B38"/>
          <w:sz w:val="21"/>
        </w:rPr>
        <w:t>☐ Special Warranty Deed recorded — {{COUNTY}} County Clerk</w:t>
      </w:r>
    </w:p>
    <w:p>
      <w:pPr>
        <w:spacing w:after="120"/>
      </w:pPr>
      <w:r>
        <w:rPr>
          <w:color w:val="2E3B38"/>
          <w:sz w:val="21"/>
        </w:rPr>
        <w:t xml:space="preserve">☐ </w:t>
      </w:r>
      <w:r>
        <w:rPr>
          <w:b/>
          <w:color w:val="1E3C36"/>
          <w:sz w:val="21"/>
        </w:rPr>
        <w:t>Grantee's mailing address appears on the face of the deed</w:t>
      </w:r>
      <w:r>
        <w:rPr>
          <w:color w:val="2E3B38"/>
          <w:sz w:val="21"/>
        </w:rPr>
        <w:t xml:space="preserve"> </w:t>
      </w:r>
      <w:r>
        <w:rPr>
          <w:i/>
          <w:color w:val="6B7A75"/>
          <w:sz w:val="21"/>
        </w:rPr>
        <w:t>(Tex. Prop. Code § 11.003)</w:t>
      </w:r>
    </w:p>
    <w:p>
      <w:pPr>
        <w:spacing w:after="120"/>
      </w:pPr>
      <w:r>
        <w:rPr>
          <w:color w:val="2E3B38"/>
          <w:sz w:val="21"/>
        </w:rPr>
        <w:t>☐ Vacant/renovation insurance bound effective the recording date</w:t>
      </w:r>
    </w:p>
    <w:p>
      <w:pPr>
        <w:spacing w:after="120"/>
      </w:pPr>
      <w:r>
        <w:rPr>
          <w:color w:val="2E3B38"/>
          <w:sz w:val="21"/>
        </w:rPr>
        <w:t>☐ County appraisal district notified — owner and mailing address updated</w:t>
      </w:r>
    </w:p>
    <w:p>
      <w:pPr>
        <w:spacing w:after="120"/>
      </w:pPr>
      <w:r>
        <w:rPr>
          <w:color w:val="2E3B38"/>
          <w:sz w:val="21"/>
        </w:rPr>
        <w:t>☐ HOA notified, if applicable</w:t>
      </w:r>
    </w:p>
    <w:p>
      <w:pPr>
        <w:spacing w:after="120"/>
      </w:pPr>
      <w:r>
        <w:rPr>
          <w:color w:val="2E3B38"/>
          <w:sz w:val="21"/>
        </w:rPr>
        <w:t xml:space="preserve">☐ IRS Form 1099-A prepared </w:t>
      </w:r>
      <w:r>
        <w:rPr>
          <w:i/>
          <w:color w:val="6B7A75"/>
          <w:sz w:val="21"/>
        </w:rPr>
        <w:t>(borrower copy by Jan 31; IRS by Feb 28, or Mar 31 if e-filing)</w:t>
      </w:r>
    </w:p>
    <w:p>
      <w:pPr>
        <w:spacing w:after="120"/>
      </w:pPr>
      <w:r>
        <w:rPr>
          <w:color w:val="2E3B38"/>
          <w:sz w:val="21"/>
        </w:rPr>
        <w:t>☐ IRS Form 1099-C prepared, if deficiency waived</w:t>
      </w:r>
    </w:p>
    <w:p>
      <w:pPr>
        <w:spacing w:after="120"/>
      </w:pPr>
      <w:r>
        <w:rPr>
          <w:color w:val="2E3B38"/>
          <w:sz w:val="21"/>
        </w:rPr>
        <w:t>☐ Capital Partner notified of the completed conveyance</w:t>
      </w:r>
    </w:p>
    <w:p>
      <w:pPr>
        <w:spacing w:after="120"/>
      </w:pPr>
      <w:r>
        <w:rPr>
          <w:color w:val="2E3B38"/>
          <w:sz w:val="21"/>
        </w:rPr>
        <w:t xml:space="preserve">☐ </w:t>
      </w:r>
      <w:r>
        <w:rPr>
          <w:b/>
          <w:color w:val="1E3C36"/>
          <w:sz w:val="21"/>
        </w:rPr>
        <w:t>Release of Lien NOT recorded</w:t>
      </w:r>
      <w:r>
        <w:rPr>
          <w:color w:val="2E3B38"/>
          <w:sz w:val="21"/>
        </w:rPr>
        <w:t xml:space="preserve"> — the Deed of Trust lien is preserved for the junior-lien remedy</w:t>
      </w:r>
    </w:p>
    <w:p>
      <w:pPr>
        <w:spacing w:after="120"/>
      </w:pPr>
      <w:r>
        <w:rPr>
          <w:color w:val="2E3B38"/>
          <w:sz w:val="21"/>
        </w:rPr>
        <w:t>☐ Junior lien plan executed</w:t>
      </w:r>
    </w:p>
    <w:p>
      <w:pPr>
        <w:spacing w:after="120"/>
      </w:pPr>
      <w:r>
        <w:rPr>
          <w:color w:val="2E3B38"/>
          <w:sz w:val="21"/>
        </w:rPr>
        <w:t xml:space="preserve">☐ True-up deadline calendared: __________ </w:t>
      </w:r>
      <w:r>
        <w:rPr>
          <w:i/>
          <w:color w:val="6B7A75"/>
          <w:sz w:val="21"/>
        </w:rPr>
        <w:t>(recording date + 12 months)</w:t>
      </w:r>
    </w:p>
    <w:p>
      <w:pPr>
        <w:spacing w:after="120"/>
        <w:pBdr>
          <w:bottom w:val="single" w:sz="4" w:space="3" w:color="DFD8C8"/>
        </w:pBdr>
      </w:pPr>
    </w:p>
    <w:p>
      <w:pPr>
        <w:spacing w:before="260" w:after="80"/>
        <w:pBdr>
          <w:bottom w:val="single" w:sz="4" w:space="3" w:color="DFD8C8"/>
        </w:pBdr>
      </w:pPr>
      <w:r>
        <w:rPr>
          <w:rFonts w:ascii="Century Gothic" w:hAnsi="Century Gothic"/>
          <w:b/>
          <w:color w:val="1E3C36"/>
          <w:sz w:val="18"/>
        </w:rPr>
        <w:t>DECISION</w:t>
      </w:r>
    </w:p>
    <w:p>
      <w:pPr>
        <w:spacing w:after="120"/>
      </w:pPr>
      <w:r>
        <w:rPr>
          <w:color w:val="2E3B38"/>
          <w:sz w:val="21"/>
        </w:rPr>
        <w:t xml:space="preserve">☐ </w:t>
      </w:r>
      <w:r>
        <w:rPr>
          <w:b/>
          <w:color w:val="1E3C36"/>
          <w:sz w:val="21"/>
        </w:rPr>
        <w:t>ACCEPT THE DEED</w:t>
      </w:r>
      <w:r>
        <w:rPr>
          <w:color w:val="2E3B38"/>
          <w:sz w:val="21"/>
        </w:rPr>
        <w:t xml:space="preserve"> — no HARD STOP triggered, all sections cleared</w:t>
      </w:r>
    </w:p>
    <w:p>
      <w:pPr>
        <w:spacing w:after="120"/>
      </w:pPr>
      <w:r>
        <w:rPr>
          <w:color w:val="2E3B38"/>
          <w:sz w:val="21"/>
        </w:rPr>
        <w:t xml:space="preserve">☐ </w:t>
      </w:r>
      <w:r>
        <w:rPr>
          <w:b/>
          <w:color w:val="1E3C36"/>
          <w:sz w:val="21"/>
        </w:rPr>
        <w:t>DECLINE — PROCEED TO FORECLOSURE</w:t>
      </w:r>
    </w:p>
    <w:p>
      <w:pPr>
        <w:spacing w:after="120"/>
      </w:pPr>
      <w:r>
        <w:rPr>
          <w:color w:val="2E3B38"/>
          <w:sz w:val="21"/>
        </w:rPr>
        <w:t>Reason: ________________________________________________________</w:t>
      </w:r>
    </w:p>
    <w:p>
      <w:pPr>
        <w:spacing w:after="120"/>
      </w:pPr>
      <w:r>
        <w:rPr>
          <w:color w:val="2E3B38"/>
          <w:sz w:val="21"/>
        </w:rPr>
        <w:t>________________________ Date: ________</w:t>
      </w:r>
    </w:p>
    <w:p>
      <w:pPr>
        <w:spacing w:after="120"/>
      </w:pPr>
      <w:r>
        <w:rPr>
          <w:color w:val="2E3B38"/>
          <w:sz w:val="21"/>
        </w:rPr>
        <w:t>Lewis McKnight, Manager</w:t>
      </w:r>
    </w:p>
    <w:p>
      <w:pPr>
        <w:spacing w:after="120"/>
      </w:pPr>
      <w:r>
        <w:rPr>
          <w:color w:val="2E3B38"/>
          <w:sz w:val="21"/>
        </w:rPr>
        <w:t>________________________ Date: ________</w:t>
      </w:r>
    </w:p>
    <w:p>
      <w:pPr>
        <w:spacing w:after="120"/>
      </w:pPr>
      <w:r>
        <w:rPr>
          <w:color w:val="2E3B38"/>
          <w:sz w:val="21"/>
        </w:rPr>
        <w:t>Stephen Maner, Manager</w:t>
      </w:r>
    </w:p>
    <w:p>
      <w:pPr>
        <w:spacing w:after="120"/>
        <w:pBdr>
          <w:bottom w:val="single" w:sz="4" w:space="3" w:color="DFD8C8"/>
        </w:pBdr>
      </w:pPr>
    </w:p>
    <w:p>
      <w:pPr>
        <w:spacing w:before="260" w:after="80"/>
        <w:pBdr>
          <w:bottom w:val="single" w:sz="4" w:space="3" w:color="DFD8C8"/>
        </w:pBdr>
      </w:pPr>
      <w:r>
        <w:rPr>
          <w:rFonts w:ascii="Century Gothic" w:hAnsi="Century Gothic"/>
          <w:b/>
          <w:color w:val="1E3C36"/>
          <w:sz w:val="18"/>
        </w:rPr>
        <w:t>WHEN TO FORECLOSE INSTEAD — QUICK REFERENCE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shd w:val="clear" w:fill="1E3C36"/>
          </w:tcPr>
          <w:p>
            <w:pPr>
              <w:spacing w:after="20"/>
            </w:pPr>
            <w:r>
              <w:rPr>
                <w:rFonts w:ascii="Century Gothic" w:hAnsi="Century Gothic"/>
                <w:b/>
                <w:color w:val="F0EADE"/>
                <w:sz w:val="15"/>
              </w:rPr>
              <w:t>SITUATION</w:t>
            </w:r>
          </w:p>
        </w:tc>
        <w:tc>
          <w:tcPr>
            <w:tcW w:type="dxa" w:w="4896"/>
            <w:shd w:val="clear" w:fill="1E3C36"/>
          </w:tcPr>
          <w:p>
            <w:pPr>
              <w:spacing w:after="20"/>
            </w:pPr>
            <w:r>
              <w:rPr>
                <w:rFonts w:ascii="Century Gothic" w:hAnsi="Century Gothic"/>
                <w:b/>
                <w:color w:val="F0EADE"/>
                <w:sz w:val="15"/>
              </w:rPr>
              <w:t>ACTION</w:t>
            </w:r>
          </w:p>
        </w:tc>
      </w:tr>
      <w:tr>
        <w:tc>
          <w:tcPr>
            <w:tcW w:type="dxa" w:w="4896"/>
            <w:shd w:val="clear" w:fill="F7F6F3"/>
          </w:tcPr>
          <w:p>
            <w:pPr>
              <w:spacing w:after="20"/>
            </w:pPr>
            <w:r>
              <w:rPr>
                <w:color w:val="2E3B38"/>
                <w:sz w:val="18"/>
              </w:rPr>
              <w:t>Clear equity above Total Debt</w:t>
            </w:r>
          </w:p>
        </w:tc>
        <w:tc>
          <w:tcPr>
            <w:tcW w:type="dxa" w:w="4896"/>
            <w:shd w:val="clear" w:fill="F7F6F3"/>
          </w:tcPr>
          <w:p>
            <w:pPr>
              <w:spacing w:after="20"/>
            </w:pPr>
            <w:r>
              <w:rPr>
                <w:b/>
                <w:color w:val="1E3C36"/>
                <w:sz w:val="18"/>
              </w:rPr>
              <w:t>Foreclose</w:t>
            </w:r>
          </w:p>
        </w:tc>
      </w:tr>
      <w:tr>
        <w:tc>
          <w:tcPr>
            <w:tcW w:type="dxa" w:w="4896"/>
          </w:tcPr>
          <w:p>
            <w:pPr>
              <w:spacing w:after="20"/>
            </w:pPr>
            <w:r>
              <w:rPr>
                <w:color w:val="2E3B38"/>
                <w:sz w:val="18"/>
              </w:rPr>
              <w:t>Value uncertain and no true-up agreed</w:t>
            </w:r>
          </w:p>
        </w:tc>
        <w:tc>
          <w:tcPr>
            <w:tcW w:type="dxa" w:w="4896"/>
          </w:tcPr>
          <w:p>
            <w:pPr>
              <w:spacing w:after="20"/>
            </w:pPr>
            <w:r>
              <w:rPr>
                <w:b/>
                <w:color w:val="1E3C36"/>
                <w:sz w:val="18"/>
              </w:rPr>
              <w:t>Foreclose</w:t>
            </w:r>
          </w:p>
        </w:tc>
      </w:tr>
      <w:tr>
        <w:tc>
          <w:tcPr>
            <w:tcW w:type="dxa" w:w="4896"/>
            <w:shd w:val="clear" w:fill="F7F6F3"/>
          </w:tcPr>
          <w:p>
            <w:pPr>
              <w:spacing w:after="20"/>
            </w:pPr>
            <w:r>
              <w:rPr>
                <w:color w:val="2E3B38"/>
                <w:sz w:val="18"/>
              </w:rPr>
              <w:t>Other creditors circling, or bankruptcy risk</w:t>
            </w:r>
          </w:p>
        </w:tc>
        <w:tc>
          <w:tcPr>
            <w:tcW w:type="dxa" w:w="4896"/>
            <w:shd w:val="clear" w:fill="F7F6F3"/>
          </w:tcPr>
          <w:p>
            <w:pPr>
              <w:spacing w:after="20"/>
            </w:pPr>
            <w:r>
              <w:rPr>
                <w:b/>
                <w:color w:val="1E3C36"/>
                <w:sz w:val="18"/>
              </w:rPr>
              <w:t>Foreclose</w:t>
            </w:r>
          </w:p>
        </w:tc>
      </w:tr>
      <w:tr>
        <w:tc>
          <w:tcPr>
            <w:tcW w:type="dxa" w:w="4896"/>
          </w:tcPr>
          <w:p>
            <w:pPr>
              <w:spacing w:after="20"/>
            </w:pPr>
            <w:r>
              <w:rPr>
                <w:color w:val="2E3B38"/>
                <w:sz w:val="18"/>
              </w:rPr>
              <w:t>Mechanic's lien with inception before our lien</w:t>
            </w:r>
          </w:p>
        </w:tc>
        <w:tc>
          <w:tcPr>
            <w:tcW w:type="dxa" w:w="4896"/>
          </w:tcPr>
          <w:p>
            <w:pPr>
              <w:spacing w:after="20"/>
            </w:pPr>
            <w:r>
              <w:rPr>
                <w:b/>
                <w:color w:val="1E3C36"/>
                <w:sz w:val="18"/>
              </w:rPr>
              <w:t>Foreclose</w:t>
            </w:r>
          </w:p>
        </w:tc>
      </w:tr>
      <w:tr>
        <w:tc>
          <w:tcPr>
            <w:tcW w:type="dxa" w:w="4896"/>
            <w:shd w:val="clear" w:fill="F7F6F3"/>
          </w:tcPr>
          <w:p>
            <w:pPr>
              <w:spacing w:after="20"/>
            </w:pPr>
            <w:r>
              <w:rPr>
                <w:color w:val="2E3B38"/>
                <w:sz w:val="18"/>
              </w:rPr>
              <w:t>Borrower uncooperative or won't swear Schedule 1</w:t>
            </w:r>
          </w:p>
        </w:tc>
        <w:tc>
          <w:tcPr>
            <w:tcW w:type="dxa" w:w="4896"/>
            <w:shd w:val="clear" w:fill="F7F6F3"/>
          </w:tcPr>
          <w:p>
            <w:pPr>
              <w:spacing w:after="20"/>
            </w:pPr>
            <w:r>
              <w:rPr>
                <w:b/>
                <w:color w:val="1E3C36"/>
                <w:sz w:val="18"/>
              </w:rPr>
              <w:t>Foreclose</w:t>
            </w:r>
          </w:p>
        </w:tc>
      </w:tr>
      <w:tr>
        <w:tc>
          <w:tcPr>
            <w:tcW w:type="dxa" w:w="4896"/>
          </w:tcPr>
          <w:p>
            <w:pPr>
              <w:spacing w:after="20"/>
            </w:pPr>
            <w:r>
              <w:rPr>
                <w:color w:val="2E3B38"/>
                <w:sz w:val="18"/>
              </w:rPr>
              <w:t>Capital Partner won't consent</w:t>
            </w:r>
          </w:p>
        </w:tc>
        <w:tc>
          <w:tcPr>
            <w:tcW w:type="dxa" w:w="4896"/>
          </w:tcPr>
          <w:p>
            <w:pPr>
              <w:spacing w:after="20"/>
            </w:pPr>
            <w:r>
              <w:rPr>
                <w:b/>
                <w:color w:val="1E3C36"/>
                <w:sz w:val="18"/>
              </w:rPr>
              <w:t>Foreclose</w:t>
            </w:r>
          </w:p>
        </w:tc>
      </w:tr>
      <w:tr>
        <w:tc>
          <w:tcPr>
            <w:tcW w:type="dxa" w:w="4896"/>
            <w:shd w:val="clear" w:fill="F7F6F3"/>
          </w:tcPr>
          <w:p>
            <w:pPr>
              <w:spacing w:after="20"/>
            </w:pPr>
            <w:r>
              <w:rPr>
                <w:color w:val="2E3B38"/>
                <w:sz w:val="18"/>
              </w:rPr>
              <w:t>Underwater, cooperative borrower, clean liens</w:t>
            </w:r>
          </w:p>
        </w:tc>
        <w:tc>
          <w:tcPr>
            <w:tcW w:type="dxa" w:w="4896"/>
            <w:shd w:val="clear" w:fill="F7F6F3"/>
          </w:tcPr>
          <w:p>
            <w:pPr>
              <w:spacing w:after="20"/>
            </w:pPr>
            <w:r>
              <w:rPr>
                <w:b/>
                <w:color w:val="1E3C36"/>
                <w:sz w:val="18"/>
              </w:rPr>
              <w:t>Deed in lieu</w:t>
            </w:r>
          </w:p>
        </w:tc>
      </w:tr>
      <w:tr>
        <w:tc>
          <w:tcPr>
            <w:tcW w:type="dxa" w:w="4896"/>
          </w:tcPr>
          <w:p>
            <w:pPr>
              <w:spacing w:after="20"/>
            </w:pPr>
            <w:r>
              <w:rPr>
                <w:color w:val="2E3B38"/>
                <w:sz w:val="18"/>
              </w:rPr>
              <w:t>Uncertain value but we want the property</w:t>
            </w:r>
          </w:p>
        </w:tc>
        <w:tc>
          <w:tcPr>
            <w:tcW w:type="dxa" w:w="4896"/>
          </w:tcPr>
          <w:p>
            <w:pPr>
              <w:spacing w:after="20"/>
            </w:pPr>
            <w:r>
              <w:rPr>
                <w:b/>
                <w:color w:val="1E3C36"/>
                <w:sz w:val="18"/>
              </w:rPr>
              <w:t>Deed in lieu with true-up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color w:val="2E3B38"/>
          <w:sz w:val="21"/>
        </w:rPr>
        <w:t xml:space="preserve">Texas non-judicial foreclosure runs roughly 50–60 days: 20-day cure notice, 21-day notice of sale, sale on the first Tuesday of the month. It produces clean, insurable title and establishes value as a matter of law. </w:t>
      </w:r>
      <w:r>
        <w:rPr>
          <w:b/>
          <w:color w:val="1E3C36"/>
          <w:sz w:val="21"/>
        </w:rPr>
        <w:t>The extra weeks are usually worth it.</w:t>
      </w:r>
    </w:p>
    <w:p>
      <w:pPr>
        <w:spacing w:after="120"/>
        <w:pBdr>
          <w:bottom w:val="single" w:sz="4" w:space="3" w:color="DFD8C8"/>
        </w:pBdr>
      </w:pPr>
    </w:p>
    <w:p>
      <w:pPr>
        <w:spacing w:after="120"/>
      </w:pPr>
      <w:r>
        <w:rPr>
          <w:i/>
          <w:color w:val="6B7A75"/>
          <w:sz w:val="21"/>
        </w:rPr>
        <w:t>Lazy Dog Capital LLC · 3400 N Central Expy #110-217, Richardson, TX 75080 · 214-740-4989</w:t>
      </w:r>
    </w:p>
    <w:sectPr w:rsidR="00FC693F" w:rsidRPr="0006063C" w:rsidSect="00034616">
      <w:footerReference w:type="default" r:id="rId9"/>
      <w:pgSz w:w="12240" w:h="15840"/>
      <w:pgMar w:top="1008" w:right="1224" w:bottom="1008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entury Gothic" w:hAnsi="Century Gothic"/>
        <w:color w:val="6B7A75"/>
        <w:sz w:val="14"/>
      </w:rPr>
      <w:t>Lazy Dog Capital LLC  ·  3400 N Central Expy #110-217, Richardson, TX 75080  ·  214-740-4989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69" w:lineRule="auto"/>
    </w:pPr>
    <w:rPr>
      <w:rFonts w:ascii="Georgia" w:hAnsi="Georgia"/>
      <w:color w:val="2E3B38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