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WORKOUT WORKSHEET</w:t>
      </w: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DEED IN LIEU PACKET — TOKEN SOURCE</w:t>
      </w:r>
    </w:p>
    <w:p>
      <w:pPr>
        <w:spacing w:after="120"/>
      </w:pPr>
      <w:r>
        <w:rPr>
          <w:b/>
          <w:color w:val="1E3C36"/>
          <w:sz w:val="21"/>
        </w:rPr>
        <w:t>INTERNAL — DO NOT SEND TO BORROWER</w:t>
      </w:r>
    </w:p>
    <w:p>
      <w:pPr>
        <w:spacing w:after="120"/>
      </w:pPr>
      <w:r>
        <w:rPr>
          <w:color w:val="2E3B38"/>
          <w:sz w:val="21"/>
        </w:rPr>
        <w:t xml:space="preserve">Fill this once. Every token in the workout packet comes from here. Verify zero leftover </w:t>
      </w:r>
      <w:r>
        <w:rPr>
          <w:rFonts w:ascii="Consolas" w:hAnsi="Consolas"/>
          <w:color w:val="2E3B38"/>
          <w:sz w:val="21"/>
        </w:rPr>
        <w:t>{{TOKENS}}</w:t>
      </w:r>
      <w:r>
        <w:rPr>
          <w:color w:val="2E3B38"/>
          <w:sz w:val="21"/>
        </w:rPr>
        <w:t xml:space="preserve"> before anything goes out.</w:t>
      </w:r>
    </w:p>
    <w:p>
      <w:pPr>
        <w:spacing w:after="120"/>
      </w:pPr>
      <w:r>
        <w:rPr>
          <w:b/>
          <w:color w:val="1E3C36"/>
          <w:sz w:val="21"/>
        </w:rPr>
        <w:t>Feeds:</w:t>
      </w:r>
      <w:r>
        <w:rPr>
          <w:color w:val="2E3B38"/>
          <w:sz w:val="21"/>
        </w:rPr>
        <w:t xml:space="preserve"> Settlement and Release Agreement · Estoppel Affidavit · Special Warranty Deed · Bill of Sale and Assignment · Cover Letter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A. FROM THE CLOSING FILE</w:t>
      </w:r>
    </w:p>
    <w:p>
      <w:pPr>
        <w:spacing w:after="120"/>
      </w:pPr>
      <w:r>
        <w:rPr>
          <w:i/>
          <w:color w:val="6B7A75"/>
          <w:sz w:val="21"/>
        </w:rPr>
        <w:t>Pull from the Closing Worksheet and recorded documents — do not retype from memory.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TOKEN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VALUE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SOURCE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{{LOAN_NUMBER}}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Loan file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{{BORROWER_ENTITY}}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Note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{{BORROWER_ENTITY_TYPE}}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Certificate of Formation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{{BORROWER_ADDRESS}}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Application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{{BORROWER_EMAIL}}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Application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{{BORROWER_FIRST_NAME}}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Application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{{GUARANTOR_NAMES}}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Personal Guarantee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{{GUARANTOR_1_NAME}}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Personal Guarantee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{{GUARANTOR_2_NAME}}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Personal Guarantee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{{PROPERTY_ADDRESS}}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Deed of Trust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{{COUNTY}}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Deed of Trust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{{CLOSING_DATE}}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Note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{{LOAN_AMOUNT}}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Note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{{DEFAULT_RATE}}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18.000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Program standard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{{TRUSTEE_NAME}}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Deed of Trust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{{DOT_INSTRUMENT_NO}}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Recorded Deed of Trust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Legal description copied verbatim from the recorded Deed of Trust</w:t>
      </w:r>
      <w:r>
        <w:rPr>
          <w:color w:val="2E3B38"/>
          <w:sz w:val="21"/>
        </w:rPr>
        <w:t xml:space="preserve"> — must match exactly, or the preserved lien won't cover what you own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B. THE DEFAULT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TOKEN</w:t>
            </w:r>
          </w:p>
        </w:tc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VALUE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{{DEFAULT_DESCRIPTION}}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{{DEFAULT_NOTICE_DATE}}</w:t>
            </w:r>
          </w:p>
        </w:tc>
        <w:tc>
          <w:tcPr>
            <w:tcW w:type="dxa" w:w="4896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Cure period expired: __________</w:t>
      </w:r>
    </w:p>
    <w:p>
      <w:pPr>
        <w:spacing w:after="120"/>
      </w:pPr>
      <w:r>
        <w:rPr>
          <w:i/>
          <w:color w:val="6B7A75"/>
          <w:sz w:val="21"/>
        </w:rPr>
        <w:t>Write the default factually — what happened, not a characterization. "The interest payment due June 1 has not been received."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C. TOTAL DEBT</w:t>
      </w:r>
    </w:p>
    <w:p>
      <w:pPr>
        <w:spacing w:after="120"/>
      </w:pPr>
      <w:r>
        <w:rPr>
          <w:i/>
          <w:color w:val="6B7A75"/>
          <w:sz w:val="21"/>
        </w:rPr>
        <w:t>Compute before anything else. Becomes Exhibit B to the Settlement Agreement.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ITEM</w:t>
            </w:r>
          </w:p>
        </w:tc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AMOUNT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Unpaid principal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Accrued interest at 12.000%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Accrued interest at default rate 18.000%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Late charges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Advances — taxes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Advances — insurance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Advances — utilities, securing, preservation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Fees, costs, legal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`{{TOTAL_DEBT}}`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 xml:space="preserve">Computed as of </w:t>
      </w:r>
      <w:r>
        <w:rPr>
          <w:rFonts w:ascii="Consolas" w:hAnsi="Consolas"/>
          <w:color w:val="2E3B38"/>
          <w:sz w:val="21"/>
        </w:rPr>
        <w:t>{{SETTLEMENT_DATE}}</w:t>
      </w:r>
      <w:r>
        <w:rPr>
          <w:color w:val="2E3B38"/>
          <w:sz w:val="21"/>
        </w:rPr>
        <w:t>: __________</w:t>
      </w:r>
    </w:p>
    <w:p>
      <w:pPr>
        <w:spacing w:after="120"/>
      </w:pPr>
      <w:r>
        <w:rPr>
          <w:color w:val="2E3B38"/>
          <w:sz w:val="21"/>
        </w:rPr>
        <w:t>☐ Itemized statement printed and saved to the deal folder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D. DATES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TOKEN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VALUE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RULE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{{SETTLEMENT_DATE}}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Date the packet is dated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{{OFFER_EXPIRATION_DATE}}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10–14 days after sending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{{POSSESSION_DATE}}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Usually the recording date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 xml:space="preserve">True-up deadline </w:t>
      </w:r>
      <w:r>
        <w:rPr>
          <w:i/>
          <w:color w:val="6B7A75"/>
          <w:sz w:val="21"/>
        </w:rPr>
        <w:t>(recording date + 12 months)</w:t>
      </w:r>
      <w:r>
        <w:rPr>
          <w:color w:val="2E3B38"/>
          <w:sz w:val="21"/>
        </w:rPr>
        <w:t>: __________ ☐ calendared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E. SIGNER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TOKEN</w:t>
            </w:r>
          </w:p>
        </w:tc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VALUE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{{AFFIANT_NAME}}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{{AFFIANT_TITLE}}</w:t>
            </w:r>
          </w:p>
        </w:tc>
        <w:tc>
          <w:tcPr>
            <w:tcW w:type="dxa" w:w="4896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☐ Authority confirmed against the Operating Agreement — this person can bind the entity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F. TERMS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TOKEN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VALUE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DEFAULT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{{DISPOSITION_FEE_PCT}}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5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True-up period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12 months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fixed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rFonts w:ascii="Consolas" w:hAnsi="Consolas"/>
                <w:color w:val="2E3B38"/>
                <w:sz w:val="18"/>
              </w:rPr>
              <w:t>{{OTHER_CONSIDERATION}}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usually none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Consideration selected</w:t>
      </w:r>
      <w:r>
        <w:rPr>
          <w:color w:val="2E3B38"/>
          <w:sz w:val="21"/>
        </w:rPr>
        <w:t xml:space="preserve"> </w:t>
      </w:r>
      <w:r>
        <w:rPr>
          <w:i/>
          <w:color w:val="6B7A75"/>
          <w:sz w:val="21"/>
        </w:rPr>
        <w:t>(Section 2 of the Settlement Agreement)</w:t>
      </w:r>
    </w:p>
    <w:p>
      <w:pPr>
        <w:spacing w:after="120"/>
      </w:pPr>
      <w:r>
        <w:rPr>
          <w:color w:val="2E3B38"/>
          <w:sz w:val="21"/>
        </w:rPr>
        <w:t>☐ 2.1 Guarantee release ☐ 2.2 Deficiency waiver ☐ 2.3 Other</w:t>
      </w:r>
    </w:p>
    <w:p>
      <w:pPr>
        <w:spacing w:after="120"/>
      </w:pPr>
      <w:r>
        <w:rPr>
          <w:b/>
          <w:color w:val="1E3C36"/>
          <w:sz w:val="21"/>
        </w:rPr>
        <w:t>`{{CONSIDERATION_SUMMARY}}`</w:t>
      </w:r>
      <w:r>
        <w:rPr>
          <w:color w:val="2E3B38"/>
          <w:sz w:val="21"/>
        </w:rPr>
        <w:t xml:space="preserve"> — plain-English bullets for the cover letter, matching the boxes above: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G. NOT USED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{{TITLE_COMPANY}}</w:t>
      </w:r>
      <w:r>
        <w:rPr>
          <w:color w:val="2E3B38"/>
          <w:sz w:val="21"/>
        </w:rPr>
        <w:t xml:space="preserve"> — appears in Section 9.1 of the Estoppel Affidavit. </w:t>
      </w:r>
      <w:r>
        <w:rPr>
          <w:b/>
          <w:color w:val="1E3C36"/>
          <w:sz w:val="21"/>
        </w:rPr>
        <w:t>No title company is involved.</w:t>
      </w:r>
      <w:r>
        <w:rPr>
          <w:color w:val="2E3B38"/>
          <w:sz w:val="21"/>
        </w:rPr>
        <w:t xml:space="preserve"> Either delete the reference to the title company from 9.1, or insert the party the affidavit is made to. Do not leave the token unfilled.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H. PRE-SEND VERIFICATION</w:t>
      </w:r>
    </w:p>
    <w:p>
      <w:pPr>
        <w:spacing w:after="120"/>
      </w:pPr>
      <w:r>
        <w:rPr>
          <w:color w:val="2E3B38"/>
          <w:sz w:val="21"/>
        </w:rPr>
        <w:t>☐ Acceptance Checklist completed, no HARD STOP triggered</w:t>
      </w:r>
    </w:p>
    <w:p>
      <w:pPr>
        <w:spacing w:after="120"/>
      </w:pPr>
      <w:r>
        <w:rPr>
          <w:color w:val="2E3B38"/>
          <w:sz w:val="21"/>
        </w:rPr>
        <w:t>☐ Both Managers signed the Acceptance Checklist</w:t>
      </w:r>
    </w:p>
    <w:p>
      <w:pPr>
        <w:spacing w:after="120"/>
      </w:pPr>
      <w:r>
        <w:rPr>
          <w:color w:val="2E3B38"/>
          <w:sz w:val="21"/>
        </w:rPr>
        <w:t>☐ Attorney has reviewed the packet</w:t>
      </w:r>
    </w:p>
    <w:p>
      <w:pPr>
        <w:spacing w:after="120"/>
      </w:pPr>
      <w:r>
        <w:rPr>
          <w:color w:val="2E3B38"/>
          <w:sz w:val="21"/>
        </w:rPr>
        <w:t>☐ Capital Partner written consent obtained, if the loan is collaterally assigned</w:t>
      </w: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Grep every document for `{{` — zero remaining</w:t>
      </w:r>
    </w:p>
    <w:p>
      <w:pPr>
        <w:spacing w:after="120"/>
      </w:pPr>
      <w:r>
        <w:rPr>
          <w:color w:val="2E3B38"/>
          <w:sz w:val="21"/>
        </w:rPr>
        <w:t>☐ Legal description identical across the Deed, Estoppel Affidavit, and Bill of Sale</w:t>
      </w:r>
    </w:p>
    <w:p>
      <w:pPr>
        <w:spacing w:after="120"/>
      </w:pPr>
      <w:r>
        <w:rPr>
          <w:color w:val="2E3B38"/>
          <w:sz w:val="21"/>
        </w:rPr>
        <w:t>☐ Total Debt figure identical across the Settlement Agreement, Estoppel Affidavit, and cover letter</w:t>
      </w:r>
    </w:p>
    <w:p>
      <w:pPr>
        <w:spacing w:after="120"/>
      </w:pPr>
      <w:r>
        <w:rPr>
          <w:color w:val="2E3B38"/>
          <w:sz w:val="21"/>
        </w:rPr>
        <w:t>☐ Signature lines, notary blocks, and dates left blank</w:t>
      </w:r>
    </w:p>
    <w:p>
      <w:pPr>
        <w:spacing w:after="120"/>
      </w:pPr>
      <w:r>
        <w:rPr>
          <w:color w:val="2E3B38"/>
          <w:sz w:val="21"/>
        </w:rPr>
        <w:t xml:space="preserve">☐ Acceptance Checklist and this worksheet </w:t>
      </w:r>
      <w:r>
        <w:rPr>
          <w:b/>
          <w:color w:val="1E3C36"/>
          <w:sz w:val="21"/>
        </w:rPr>
        <w:t>removed</w:t>
      </w:r>
      <w:r>
        <w:rPr>
          <w:color w:val="2E3B38"/>
          <w:sz w:val="21"/>
        </w:rPr>
        <w:t xml:space="preserve"> from the outgoing packet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I. WHAT GOES TO THE BORROWER</w:t>
      </w:r>
    </w:p>
    <w:p>
      <w:pPr>
        <w:pStyle w:val="ListNumber"/>
        <w:spacing w:after="60"/>
      </w:pPr>
      <w:r>
        <w:rPr>
          <w:color w:val="2E3B38"/>
          <w:sz w:val="21"/>
        </w:rPr>
        <w:t>Cover letter</w:t>
      </w:r>
    </w:p>
    <w:p>
      <w:pPr>
        <w:pStyle w:val="ListNumber"/>
        <w:spacing w:after="60"/>
      </w:pPr>
      <w:r>
        <w:rPr>
          <w:color w:val="2E3B38"/>
          <w:sz w:val="21"/>
        </w:rPr>
        <w:t>Itemized Total Debt statement</w:t>
      </w:r>
    </w:p>
    <w:p>
      <w:pPr>
        <w:pStyle w:val="ListNumber"/>
        <w:spacing w:after="60"/>
      </w:pPr>
      <w:r>
        <w:rPr>
          <w:color w:val="2E3B38"/>
          <w:sz w:val="21"/>
        </w:rPr>
        <w:t>Settlement and Release Agreement</w:t>
      </w:r>
    </w:p>
    <w:p>
      <w:pPr>
        <w:pStyle w:val="ListNumber"/>
        <w:spacing w:after="60"/>
      </w:pPr>
      <w:r>
        <w:rPr>
          <w:color w:val="2E3B38"/>
          <w:sz w:val="21"/>
        </w:rPr>
        <w:t>Estoppel Affidavit with blank Schedule 1</w:t>
      </w:r>
    </w:p>
    <w:p>
      <w:pPr>
        <w:pStyle w:val="ListNumber"/>
        <w:spacing w:after="60"/>
      </w:pPr>
      <w:r>
        <w:rPr>
          <w:color w:val="2E3B38"/>
          <w:sz w:val="21"/>
        </w:rPr>
        <w:t>Special Warranty Deed in Lieu of Foreclosure</w:t>
      </w:r>
    </w:p>
    <w:p>
      <w:pPr>
        <w:pStyle w:val="ListNumber"/>
        <w:spacing w:after="60"/>
      </w:pPr>
      <w:r>
        <w:rPr>
          <w:color w:val="2E3B38"/>
          <w:sz w:val="21"/>
        </w:rPr>
        <w:t>Bill of Sale and Assignment with blank Schedules A, B, C</w:t>
      </w:r>
    </w:p>
    <w:p>
      <w:pPr>
        <w:spacing w:after="120"/>
      </w:pPr>
      <w:r>
        <w:rPr>
          <w:b/>
          <w:color w:val="1E3C36"/>
          <w:sz w:val="21"/>
        </w:rPr>
        <w:t>Stays internal:</w:t>
      </w:r>
      <w:r>
        <w:rPr>
          <w:color w:val="2E3B38"/>
          <w:sz w:val="21"/>
        </w:rPr>
        <w:t xml:space="preserve"> Acceptance Checklist · this Workout Worksheet · valuation materials · title search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i/>
          <w:color w:val="6B7A75"/>
          <w:sz w:val="21"/>
        </w:rPr>
        <w:t>Lazy Dog Capital LLC · 3400 N Central Expy #110-217, Richardson, TX 75080 · 214-740-4989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