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2011680" cy="6512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izontal_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51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pBdr>
          <w:bottom w:val="single" w:sz="10" w:space="3" w:color="C89430"/>
        </w:pBdr>
      </w:pPr>
    </w:p>
    <w:p>
      <w:pPr>
        <w:spacing w:after="40"/>
      </w:pPr>
      <w:r>
        <w:rPr>
          <w:rFonts w:ascii="Century Gothic" w:hAnsi="Century Gothic"/>
          <w:b/>
          <w:color w:val="1E3C36"/>
          <w:sz w:val="44"/>
        </w:rPr>
        <w:t>TRUE-UP SUMMARY STATEMENT</w:t>
      </w:r>
    </w:p>
    <w:p>
      <w:pPr>
        <w:spacing w:after="120"/>
      </w:pPr>
      <w:r>
        <w:rPr>
          <w:b/>
          <w:color w:val="1E3C36"/>
          <w:sz w:val="21"/>
        </w:rPr>
        <w:t>LAZY DOG CAPITAL LLC</w:t>
      </w:r>
    </w:p>
    <w:p>
      <w:pPr>
        <w:spacing w:after="120"/>
      </w:pPr>
      <w:r>
        <w:rPr>
          <w:color w:val="2E3B38"/>
          <w:sz w:val="21"/>
        </w:rPr>
        <w:t>3400 N Central Expy #110-217, Richardson, TX 75080 · 214-740-4989</w:t>
      </w:r>
    </w:p>
    <w:p>
      <w:pPr>
        <w:spacing w:after="120"/>
      </w:pPr>
      <w:r>
        <w:rPr>
          <w:i/>
          <w:color w:val="6B7A75"/>
          <w:sz w:val="21"/>
        </w:rPr>
        <w:t>Delivered under Section 4.2 of the Settlement and Release Agreement dated {{SETTLEMENT_DATE}}.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color w:val="2E3B38"/>
          <w:sz w:val="21"/>
        </w:rPr>
        <w:t>{{STATEMENT_DATE}}</w:t>
      </w:r>
    </w:p>
    <w:p>
      <w:pPr>
        <w:spacing w:after="120"/>
      </w:pPr>
      <w:r>
        <w:rPr>
          <w:color w:val="2E3B38"/>
          <w:sz w:val="21"/>
        </w:rPr>
        <w:t>{{BORROWER_ENTITY}}</w:t>
      </w:r>
    </w:p>
    <w:p>
      <w:pPr>
        <w:spacing w:after="120"/>
      </w:pPr>
      <w:r>
        <w:rPr>
          <w:color w:val="2E3B38"/>
          <w:sz w:val="21"/>
        </w:rPr>
        <w:t>{{BORROWER_ADDRESS}}</w:t>
      </w:r>
    </w:p>
    <w:p>
      <w:pPr>
        <w:spacing w:after="120"/>
      </w:pPr>
      <w:r>
        <w:rPr>
          <w:b/>
          <w:color w:val="1E3C36"/>
          <w:sz w:val="21"/>
        </w:rPr>
        <w:t>Re: {{PROPERTY_ADDRESS}} — true-up accounting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color w:val="2E3B38"/>
          <w:sz w:val="21"/>
        </w:rPr>
        <w:t>You conveyed the property to Lazy Dog Capital LLC on {{CONVEYANCE_DATE}}. Under Section 4 of the Settlement and Release Agreement, if we sold the property within twelve months you would receive any surplus over our total costs. The property sold on {{SALE_DATE}}. Here is the accounting.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THE SALE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Sale date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{{SALE_DATE}}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Gross sale price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${{GROSS_SALE_PRICE}}</w:t>
            </w:r>
          </w:p>
        </w:tc>
      </w:tr>
    </w:tbl>
    <w:p>
      <w:pPr>
        <w:spacing w:after="80"/>
      </w:pP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DEDUCTIONS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 xml:space="preserve">Total Debt </w:t>
            </w:r>
            <w:r>
              <w:rPr>
                <w:i/>
                <w:color w:val="6B7A75"/>
                <w:sz w:val="18"/>
              </w:rPr>
              <w:t>(as of {{SETTLEMENT_DATE}}, plus default-rate interest through closing)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${{TOTAL_DEBT}}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Completion Costs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${{COMPLETION_COSTS}}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Carrying Costs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${{CARRYING_COSTS}}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Selling Costs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${{SELLING_COSTS}}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 xml:space="preserve">Disposition Fee </w:t>
            </w:r>
            <w:r>
              <w:rPr>
                <w:i/>
                <w:color w:val="6B7A75"/>
                <w:sz w:val="18"/>
              </w:rPr>
              <w:t>({{DISPOSITION_FEE_PCT}}% of gross sale price)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${{DISPOSITION_FEE}}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TOTAL DEDUCTIONS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${{TOTAL_DEDUCTIONS}}</w:t>
            </w:r>
          </w:p>
        </w:tc>
      </w:tr>
    </w:tbl>
    <w:p>
      <w:pPr>
        <w:spacing w:after="80"/>
      </w:pP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RESULT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Gross sale price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${{GROSS_SALE_PRICE}}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Less total deductions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(${{TOTAL_DEDUCTIONS}})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SURPLUS DUE TO YOU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${{SURPLUS}}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2E3B38"/>
          <w:sz w:val="21"/>
        </w:rPr>
        <w:t>{{PAYMENT_OR_NONE}}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color w:val="2E3B38"/>
          <w:sz w:val="21"/>
        </w:rPr>
        <w:t>Under Section 4.2 of the Settlement and Release Agreement, this calculation, made in good faith, is final.</w:t>
      </w:r>
    </w:p>
    <w:p>
      <w:pPr>
        <w:spacing w:after="120"/>
      </w:pPr>
      <w:r>
        <w:rPr>
          <w:color w:val="2E3B38"/>
          <w:sz w:val="21"/>
        </w:rPr>
        <w:t>{{SENDER_NAME}}</w:t>
      </w:r>
    </w:p>
    <w:p>
      <w:pPr>
        <w:spacing w:after="120"/>
      </w:pPr>
      <w:r>
        <w:rPr>
          <w:color w:val="2E3B38"/>
          <w:sz w:val="21"/>
        </w:rPr>
        <w:t>Lazy Dog Capital LLC</w:t>
      </w:r>
    </w:p>
    <w:p>
      <w:pPr>
        <w:spacing w:after="120"/>
      </w:pPr>
      <w:r>
        <w:rPr>
          <w:color w:val="2E3B38"/>
          <w:sz w:val="21"/>
        </w:rPr>
        <w:t>214-740-4989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TOKENS</w:t>
      </w:r>
    </w:p>
    <w:p>
      <w:pPr>
        <w:spacing w:after="120"/>
      </w:pPr>
      <w:r>
        <w:rPr>
          <w:rFonts w:ascii="Consolas" w:hAnsi="Consolas"/>
          <w:color w:val="2E3B38"/>
          <w:sz w:val="21"/>
        </w:rPr>
        <w:t>{{SETTLEMENT_DATE}}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{{STATEMENT_DATE}}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{{BORROWER_ENTITY}}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{{BORROWER_ADDRESS}}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{{PROPERTY_ADDRESS}}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{{CONVEYANCE_DATE}}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{{SALE_DATE}}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{{GROSS_SALE_PRICE}}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{{TOTAL_DEBT}}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{{COMPLETION_COSTS}}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{{CARRYING_COSTS}}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{{SELLING_COSTS}}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{{DISPOSITION_FEE_PCT}}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{{DISPOSITION_FEE}}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{{TOTAL_DEDUCTIONS}}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{{SURPLUS}}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{{PAYMENT_OR_NONE}}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{{SENDER_NAME}}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FILL-IN GUIDE</w:t>
      </w:r>
    </w:p>
    <w:p>
      <w:pPr>
        <w:spacing w:after="120"/>
      </w:pPr>
      <w:r>
        <w:rPr>
          <w:b/>
          <w:color w:val="1E3C36"/>
          <w:sz w:val="21"/>
        </w:rPr>
        <w:t>`{{PAYMENT_OR_NONE}}`</w:t>
      </w:r>
      <w:r>
        <w:rPr>
          <w:color w:val="2E3B38"/>
          <w:sz w:val="21"/>
        </w:rPr>
        <w:t xml:space="preserve"> — pick one:</w:t>
      </w:r>
    </w:p>
    <w:p>
      <w:pPr>
        <w:spacing w:after="100"/>
        <w:ind w:left="317"/>
      </w:pPr>
      <w:r>
        <w:rPr>
          <w:b/>
          <w:color w:val="1E3C36"/>
          <w:sz w:val="19"/>
        </w:rPr>
        <w:t>We wired ${{SURPLUS}} to you on {{WIRE_DATE}}.</w:t>
      </w:r>
    </w:p>
    <w:p>
      <w:pPr>
        <w:spacing w:after="100"/>
        <w:ind w:left="317"/>
      </w:pPr>
      <w:r>
        <w:rPr>
          <w:b/>
          <w:color w:val="1E3C36"/>
          <w:sz w:val="19"/>
        </w:rPr>
        <w:t>The sale did not produce a surplus.</w:t>
      </w:r>
      <w:r>
        <w:rPr>
          <w:color w:val="6B7A75"/>
          <w:sz w:val="19"/>
        </w:rPr>
        <w:t xml:space="preserve"> The deductions exceeded the sale price, so no payment is due under Section 4.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NOTES</w:t>
      </w:r>
    </w:p>
    <w:p>
      <w:pPr>
        <w:spacing w:after="120"/>
      </w:pPr>
      <w:r>
        <w:rPr>
          <w:b/>
          <w:color w:val="1E3C36"/>
          <w:sz w:val="21"/>
        </w:rPr>
        <w:t>Due within 30 days</w:t>
      </w:r>
      <w:r>
        <w:rPr>
          <w:color w:val="2E3B38"/>
          <w:sz w:val="21"/>
        </w:rPr>
        <w:t xml:space="preserve"> of the sale closing — whether or not there's a surplus. Section 4.2 requires the statement either way, and sending it when the answer is zero is what makes the mechanism credible.</w:t>
      </w:r>
    </w:p>
    <w:p>
      <w:pPr>
        <w:spacing w:after="120"/>
      </w:pPr>
      <w:r>
        <w:rPr>
          <w:b/>
          <w:color w:val="1E3C36"/>
          <w:sz w:val="21"/>
        </w:rPr>
        <w:t>Five line items only.</w:t>
      </w:r>
      <w:r>
        <w:rPr>
          <w:color w:val="2E3B38"/>
          <w:sz w:val="21"/>
        </w:rPr>
        <w:t xml:space="preserve"> Section 4.2 says no invoices, receipts, or supporting documentation are required. Don't volunteer more; a partial disclosure invites questions a complete one wouldn't.</w:t>
      </w:r>
    </w:p>
    <w:p>
      <w:pPr>
        <w:spacing w:after="120"/>
      </w:pPr>
      <w:r>
        <w:rPr>
          <w:b/>
          <w:color w:val="1E3C36"/>
          <w:sz w:val="21"/>
        </w:rPr>
        <w:t>Keep the backup anyway.</w:t>
      </w:r>
      <w:r>
        <w:rPr>
          <w:color w:val="2E3B38"/>
          <w:sz w:val="21"/>
        </w:rPr>
        <w:t xml:space="preserve"> Invoices, contracts, and proof of payment for completion and carrying costs stay in your file. The borrower can't demand them, but a bankruptcy trustee or an unpaid contractor isn't bound by that agreement.</w:t>
      </w:r>
    </w:p>
    <w:p>
      <w:pPr>
        <w:spacing w:after="120"/>
      </w:pPr>
      <w:r>
        <w:rPr>
          <w:b/>
          <w:color w:val="1E3C36"/>
          <w:sz w:val="21"/>
        </w:rPr>
        <w:t>Total Debt keeps accruing.</w:t>
      </w:r>
      <w:r>
        <w:rPr>
          <w:color w:val="2E3B38"/>
          <w:sz w:val="21"/>
        </w:rPr>
        <w:t xml:space="preserve"> It's the figure from the Settlement Agreement plus default-rate interest from the settlement date through the sale closing — not the number frozen at conveyance.</w:t>
      </w:r>
    </w:p>
    <w:p>
      <w:pPr>
        <w:spacing w:after="120"/>
      </w:pPr>
      <w:r>
        <w:rPr>
          <w:b/>
          <w:color w:val="1E3C36"/>
          <w:sz w:val="21"/>
        </w:rPr>
        <w:t>No true-up is owed if the sale closes after the twelve-month window</w:t>
      </w:r>
      <w:r>
        <w:rPr>
          <w:color w:val="2E3B38"/>
          <w:sz w:val="21"/>
        </w:rPr>
        <w:t>, or if the property transferred to an affiliate rather than a third party. Section 4.4 governs the affiliate case and requires an appraisal instead.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/>
        <w:color w:val="6B7A75"/>
        <w:sz w:val="14"/>
      </w:rPr>
      <w:t>Lazy Dog Capital LLC  ·  3400 N Central Expy #110-217, Richardson, TX 75080  ·  214-740-4989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Georgia" w:hAnsi="Georgia"/>
      <w:color w:val="2E3B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