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Lazy Dog Capital — Loan Workflow &amp; Document Map</w:t>
      </w:r>
    </w:p>
    <w:p>
      <w:pPr>
        <w:spacing w:after="120"/>
      </w:pPr>
      <w:r>
        <w:rPr>
          <w:color w:val="2E3B38"/>
          <w:sz w:val="21"/>
        </w:rPr>
        <w:t>Two folder trees:</w:t>
      </w:r>
    </w:p>
    <w:p>
      <w:pPr>
        <w:pStyle w:val="ListBullet"/>
        <w:spacing w:after="60"/>
      </w:pPr>
      <w:r>
        <w:rPr>
          <w:b/>
          <w:color w:val="1E3C36"/>
          <w:sz w:val="21"/>
        </w:rPr>
        <w:t>`/Templates/`</w:t>
      </w:r>
      <w:r>
        <w:rPr>
          <w:color w:val="2E3B38"/>
          <w:sz w:val="21"/>
        </w:rPr>
        <w:t xml:space="preserve"> — the master library. One copy of every blank document, organized by stage. Never touched except to update the master.</w:t>
      </w:r>
    </w:p>
    <w:p>
      <w:pPr>
        <w:pStyle w:val="ListBullet"/>
        <w:spacing w:after="60"/>
      </w:pPr>
      <w:r>
        <w:rPr>
          <w:b/>
          <w:color w:val="1E3C36"/>
          <w:sz w:val="21"/>
        </w:rPr>
        <w:t>`/Loans/[Property Address]/`</w:t>
      </w:r>
      <w:r>
        <w:rPr>
          <w:color w:val="2E3B38"/>
          <w:sz w:val="21"/>
        </w:rPr>
        <w:t xml:space="preserve"> — one folder per deal, with the same numbered stages. Filled copies live here.</w:t>
      </w:r>
    </w:p>
    <w:p>
      <w:pPr>
        <w:spacing w:after="120"/>
      </w:pPr>
      <w:r>
        <w:rPr>
          <w:color w:val="2E3B38"/>
          <w:sz w:val="21"/>
        </w:rPr>
        <w:t>Numbered prefixes keep folders in process order.</w:t>
      </w:r>
    </w:p>
    <w:p>
      <w:pPr>
        <w:spacing w:after="120"/>
      </w:pPr>
      <w:r>
        <w:rPr>
          <w:color w:val="2E3B38"/>
          <w:sz w:val="21"/>
        </w:rPr>
        <w:t xml:space="preserve">Legend: </w:t>
      </w:r>
      <w:r>
        <w:rPr>
          <w:b/>
          <w:color w:val="1E3C36"/>
          <w:sz w:val="21"/>
        </w:rPr>
        <w:t>[HAVE]</w:t>
      </w:r>
      <w:r>
        <w:rPr>
          <w:color w:val="2E3B38"/>
          <w:sz w:val="21"/>
        </w:rPr>
        <w:t xml:space="preserve"> = built · </w:t>
      </w:r>
      <w:r>
        <w:rPr>
          <w:b/>
          <w:color w:val="1E3C36"/>
          <w:sz w:val="21"/>
        </w:rPr>
        <w:t>[BUILD]</w:t>
      </w:r>
      <w:r>
        <w:rPr>
          <w:color w:val="2E3B38"/>
          <w:sz w:val="21"/>
        </w:rPr>
        <w:t xml:space="preserve"> = gap, not yet created · </w:t>
      </w:r>
      <w:r>
        <w:rPr>
          <w:b/>
          <w:color w:val="1E3C36"/>
          <w:sz w:val="21"/>
        </w:rPr>
        <w:t>[3RD PARTY]</w:t>
      </w:r>
      <w:r>
        <w:rPr>
          <w:color w:val="2E3B38"/>
          <w:sz w:val="21"/>
        </w:rPr>
        <w:t xml:space="preserve"> = borrower or vendor supplies it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00 — MARKETING &amp; PRE-DEAL</w:t>
      </w:r>
    </w:p>
    <w:p>
      <w:pPr>
        <w:spacing w:after="120"/>
      </w:pPr>
      <w:r>
        <w:rPr>
          <w:i/>
          <w:color w:val="6B7A75"/>
          <w:sz w:val="21"/>
        </w:rPr>
        <w:t>Always-on collateral. Lives in Templates only, not in per-deal folders.</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Fix &amp; Flip Program Overview / flyer</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Borrower FAQ</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Borrower Guide</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Brand Guide</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Proof of Funds Letter — template</w:t>
            </w:r>
          </w:p>
        </w:tc>
        <w:tc>
          <w:tcPr>
            <w:tcW w:type="dxa" w:w="4896"/>
            <w:shd w:val="clear" w:fill="F7F6F3"/>
          </w:tcPr>
          <w:p>
            <w:pPr>
              <w:spacing w:after="20"/>
            </w:pPr>
            <w:r>
              <w:rPr>
                <w:color w:val="2E3B38"/>
                <w:sz w:val="18"/>
              </w:rPr>
              <w:t>[HAVE]</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01 — INTAKE &amp; LOAN PROPOSAL</w:t>
      </w:r>
    </w:p>
    <w:p>
      <w:pPr>
        <w:spacing w:after="120"/>
      </w:pPr>
      <w:r>
        <w:rPr>
          <w:i/>
          <w:color w:val="6B7A75"/>
          <w:sz w:val="21"/>
        </w:rPr>
        <w:t>Flipper submits the web form; it arrives as an email that gets copy-pasted. Eight fields: name, phone, email, property address, purchase price, rehab budget, ARV, months to complete. Those numbers alone are enough to price a basic proposal and send it back.</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 xml:space="preserve">Intake email (pasted into the deal file as </w:t>
            </w:r>
            <w:r>
              <w:rPr>
                <w:rFonts w:ascii="Consolas" w:hAnsi="Consolas"/>
                <w:color w:val="2E3B38"/>
                <w:sz w:val="18"/>
              </w:rPr>
              <w:t>Intake.txt</w:t>
            </w:r>
            <w:r>
              <w:rPr>
                <w:color w:val="2E3B38"/>
                <w:sz w:val="18"/>
              </w:rPr>
              <w:t xml:space="preserve"> or a saved .eml)</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Intake auto-reply — live on the website</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Loan Proposal — Fillable</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Loan Proposal cover email — template</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Signed Loan Proposal (returned)</w:t>
            </w:r>
          </w:p>
        </w:tc>
        <w:tc>
          <w:tcPr>
            <w:tcW w:type="dxa" w:w="4896"/>
            <w:shd w:val="clear" w:fill="F7F6F3"/>
          </w:tcPr>
          <w:p>
            <w:pPr>
              <w:spacing w:after="20"/>
            </w:pPr>
            <w:r>
              <w:rPr>
                <w:color w:val="2E3B38"/>
                <w:sz w:val="18"/>
              </w:rPr>
              <w:t>—</w:t>
            </w:r>
          </w:p>
        </w:tc>
      </w:tr>
    </w:tbl>
    <w:p>
      <w:pPr>
        <w:spacing w:after="80"/>
      </w:pPr>
    </w:p>
    <w:p>
      <w:pPr>
        <w:spacing w:after="120"/>
      </w:pPr>
      <w:r>
        <w:rPr>
          <w:i/>
          <w:color w:val="6B7A75"/>
          <w:sz w:val="21"/>
        </w:rPr>
        <w:t xml:space="preserve">Non-binding, expires on its stated date. Rehab budget detail and scope of work are </w:t>
      </w:r>
      <w:r>
        <w:rPr>
          <w:i/>
          <w:color w:val="6B7A75"/>
          <w:sz w:val="21"/>
        </w:rPr>
        <w:t>not</w:t>
      </w:r>
      <w:r>
        <w:rPr>
          <w:i/>
          <w:color w:val="6B7A75"/>
          <w:sz w:val="21"/>
        </w:rPr>
        <w:t xml:space="preserve"> collected here — they come after the borrower signs back the proposal.</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02 — BUDGET, SCOPE &amp; APPLICATION</w:t>
      </w:r>
    </w:p>
    <w:p>
      <w:pPr>
        <w:spacing w:after="120"/>
      </w:pPr>
      <w:r>
        <w:rPr>
          <w:i/>
          <w:color w:val="6B7A75"/>
          <w:sz w:val="21"/>
        </w:rPr>
        <w:t>Borrower signed back the Loan Proposal and wants to move forward. Budget and scope come first — if the numbers don't survive a real budget, there's no point collecting entity documents. No contractor bid is requested; Lewis and Steve price the scope themselves against the submitted budget. No entity, insurance, or bank documents requested at this stage — those are triggered by the Conditional Approval at stage 04.</w:t>
      </w:r>
    </w:p>
    <w:p>
      <w:pPr>
        <w:spacing w:after="120"/>
      </w:pPr>
      <w:r>
        <w:rPr>
          <w:b/>
          <w:color w:val="1E3C36"/>
          <w:sz w:val="21"/>
        </w:rPr>
        <w:t>Sent</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Application &amp; Budget Request email — application link + PDF and budget template attached</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 xml:space="preserve">Loan Application — Fillable (declarations; credit authorization now separate) — </w:t>
            </w:r>
            <w:r>
              <w:rPr>
                <w:i/>
                <w:color w:val="6B7A75"/>
                <w:sz w:val="18"/>
              </w:rPr>
              <w:t>can be completed online</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 xml:space="preserve">Credit Authorization &amp; Background Check Consent — </w:t>
            </w:r>
            <w:r>
              <w:rPr>
                <w:b/>
                <w:color w:val="1E3C36"/>
                <w:sz w:val="18"/>
              </w:rPr>
              <w:t>one per principal and guarantor</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Rehab Budget &amp; Scope of Work — Fillable</w:t>
            </w:r>
          </w:p>
        </w:tc>
        <w:tc>
          <w:tcPr>
            <w:tcW w:type="dxa" w:w="4896"/>
          </w:tcPr>
          <w:p>
            <w:pPr>
              <w:spacing w:after="20"/>
            </w:pPr>
            <w:r>
              <w:rPr>
                <w:color w:val="2E3B38"/>
                <w:sz w:val="18"/>
              </w:rPr>
              <w:t>[HAVE]</w:t>
            </w:r>
          </w:p>
        </w:tc>
      </w:tr>
    </w:tbl>
    <w:p>
      <w:pPr>
        <w:spacing w:after="80"/>
      </w:pPr>
    </w:p>
    <w:p>
      <w:pPr>
        <w:spacing w:after="120"/>
      </w:pPr>
      <w:r>
        <w:rPr>
          <w:b/>
          <w:color w:val="1E3C36"/>
          <w:sz w:val="21"/>
        </w:rPr>
        <w:t>Returned</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Completed Loan Application — signed</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Signed Credit Authorization — one per principal and guarantor</w:t>
            </w:r>
          </w:p>
        </w:tc>
        <w:tc>
          <w:tcPr>
            <w:tcW w:type="dxa" w:w="4896"/>
          </w:tcPr>
          <w:p>
            <w:pPr>
              <w:spacing w:after="20"/>
            </w:pPr>
            <w:r>
              <w:rPr>
                <w:color w:val="2E3B38"/>
                <w:sz w:val="18"/>
              </w:rPr>
              <w:t>—</w:t>
            </w:r>
          </w:p>
        </w:tc>
      </w:tr>
      <w:tr>
        <w:tc>
          <w:tcPr>
            <w:tcW w:type="dxa" w:w="4896"/>
            <w:shd w:val="clear" w:fill="F7F6F3"/>
          </w:tcPr>
          <w:p>
            <w:pPr>
              <w:spacing w:after="20"/>
            </w:pPr>
            <w:r>
              <w:rPr>
                <w:color w:val="2E3B38"/>
                <w:sz w:val="18"/>
              </w:rPr>
              <w:t>Completed Rehab Budget &amp; Scope of Work</w:t>
            </w:r>
          </w:p>
        </w:tc>
        <w:tc>
          <w:tcPr>
            <w:tcW w:type="dxa" w:w="4896"/>
            <w:shd w:val="clear" w:fill="F7F6F3"/>
          </w:tcPr>
          <w:p>
            <w:pPr>
              <w:spacing w:after="20"/>
            </w:pPr>
            <w:r>
              <w:rPr>
                <w:color w:val="2E3B38"/>
                <w:sz w:val="18"/>
              </w:rPr>
              <w:t>—</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03 — UNDERWRITING</w:t>
      </w:r>
    </w:p>
    <w:p>
      <w:pPr>
        <w:spacing w:after="120"/>
      </w:pPr>
      <w:r>
        <w:rPr>
          <w:i/>
          <w:color w:val="6B7A75"/>
          <w:sz w:val="21"/>
        </w:rPr>
        <w:t>Internal only. The real review, now against a verified budget and a completed application. ARV is determined in house. Underwriting ends with a decision to approve, decline, or re-price.</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Internal Loan Processing Checklist — Fillable</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Deal Underwriting Worksheet — ARV, 80% LTV, holdback, down payment math</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Internal budget verification — inside the Underwriting Worksheet</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Comparable sales pull — ARV determined in house</w:t>
            </w:r>
          </w:p>
        </w:tc>
        <w:tc>
          <w:tcPr>
            <w:tcW w:type="dxa" w:w="4896"/>
          </w:tcPr>
          <w:p>
            <w:pPr>
              <w:spacing w:after="20"/>
            </w:pPr>
            <w:r>
              <w:rPr>
                <w:color w:val="2E3B38"/>
                <w:sz w:val="18"/>
              </w:rPr>
              <w:t>—</w:t>
            </w:r>
          </w:p>
        </w:tc>
      </w:tr>
      <w:tr>
        <w:tc>
          <w:tcPr>
            <w:tcW w:type="dxa" w:w="4896"/>
            <w:shd w:val="clear" w:fill="F7F6F3"/>
          </w:tcPr>
          <w:p>
            <w:pPr>
              <w:spacing w:after="20"/>
            </w:pPr>
            <w:r>
              <w:rPr>
                <w:color w:val="2E3B38"/>
                <w:sz w:val="18"/>
              </w:rPr>
              <w:t>Credit / background report</w:t>
            </w:r>
          </w:p>
        </w:tc>
        <w:tc>
          <w:tcPr>
            <w:tcW w:type="dxa" w:w="4896"/>
            <w:shd w:val="clear" w:fill="F7F6F3"/>
          </w:tcPr>
          <w:p>
            <w:pPr>
              <w:spacing w:after="20"/>
            </w:pPr>
            <w:r>
              <w:rPr>
                <w:color w:val="2E3B38"/>
                <w:sz w:val="18"/>
              </w:rPr>
              <w:t>[3RD PARTY]</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04 — CONDITIONAL APPROVAL</w:t>
      </w:r>
    </w:p>
    <w:p>
      <w:pPr>
        <w:spacing w:after="120"/>
      </w:pPr>
      <w:r>
        <w:rPr>
          <w:i/>
          <w:color w:val="6B7A75"/>
          <w:sz w:val="21"/>
        </w:rPr>
        <w:t>Underwriting cleared. The Conditional Approval carries the verified numbers, any change from the proposal, and the list of documents the borrower must send. Everything here is issuing it, then collecting and verifying against it.</w:t>
      </w:r>
    </w:p>
    <w:p>
      <w:pPr>
        <w:spacing w:after="120"/>
      </w:pPr>
      <w:r>
        <w:rPr>
          <w:b/>
          <w:color w:val="1E3C36"/>
          <w:sz w:val="21"/>
        </w:rPr>
        <w:t>Issued to borrower</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Conditional Approval cover email</w:t>
            </w:r>
          </w:p>
        </w:tc>
        <w:tc>
          <w:tcPr>
            <w:tcW w:type="dxa" w:w="4896"/>
            <w:shd w:val="clear" w:fill="F7F6F3"/>
          </w:tcPr>
          <w:p>
            <w:pPr>
              <w:spacing w:after="20"/>
            </w:pPr>
            <w:r>
              <w:rPr>
                <w:color w:val="2E3B38"/>
                <w:sz w:val="18"/>
              </w:rPr>
              <w:t>[HAVE]</w:t>
            </w:r>
          </w:p>
        </w:tc>
      </w:tr>
      <w:tr>
        <w:tc>
          <w:tcPr>
            <w:tcW w:type="dxa" w:w="4896"/>
          </w:tcPr>
          <w:p>
            <w:pPr>
              <w:spacing w:after="20"/>
            </w:pPr>
            <w:r>
              <w:rPr>
                <w:b/>
                <w:color w:val="1E3C36"/>
                <w:sz w:val="18"/>
              </w:rPr>
              <w:t>Conditional Approval</w:t>
            </w:r>
            <w:r>
              <w:rPr>
                <w:color w:val="2E3B38"/>
                <w:sz w:val="18"/>
              </w:rPr>
              <w:t xml:space="preserve"> — verified numbers, changes from the proposal, conditions list</w:t>
            </w:r>
          </w:p>
        </w:tc>
        <w:tc>
          <w:tcPr>
            <w:tcW w:type="dxa" w:w="4896"/>
          </w:tcPr>
          <w:p>
            <w:pPr>
              <w:spacing w:after="20"/>
            </w:pPr>
            <w:r>
              <w:rPr>
                <w:color w:val="2E3B38"/>
                <w:sz w:val="18"/>
              </w:rPr>
              <w:t>[HAVE]</w:t>
            </w:r>
          </w:p>
        </w:tc>
      </w:tr>
    </w:tbl>
    <w:p>
      <w:pPr>
        <w:spacing w:after="80"/>
      </w:pPr>
    </w:p>
    <w:p>
      <w:pPr>
        <w:spacing w:after="120"/>
      </w:pPr>
      <w:r>
        <w:rPr>
          <w:b/>
          <w:color w:val="1E3C36"/>
          <w:sz w:val="21"/>
        </w:rPr>
        <w:t>Conditions — received and verified</w:t>
      </w:r>
    </w:p>
    <w:p>
      <w:pPr>
        <w:spacing w:after="120"/>
      </w:pPr>
      <w:r>
        <w:rPr>
          <w:i/>
          <w:color w:val="6B7A75"/>
          <w:sz w:val="21"/>
        </w:rPr>
        <w:t>Every item below gets checked off the Conditional Approval as it arrives.</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ITEM</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Certificate of Formation</w:t>
            </w:r>
          </w:p>
        </w:tc>
        <w:tc>
          <w:tcPr>
            <w:tcW w:type="dxa" w:w="4896"/>
            <w:shd w:val="clear" w:fill="F7F6F3"/>
          </w:tcPr>
          <w:p>
            <w:pPr>
              <w:spacing w:after="20"/>
            </w:pPr>
            <w:r>
              <w:rPr>
                <w:color w:val="2E3B38"/>
                <w:sz w:val="18"/>
              </w:rPr>
              <w:t>[3RD PARTY]</w:t>
            </w:r>
          </w:p>
        </w:tc>
      </w:tr>
      <w:tr>
        <w:tc>
          <w:tcPr>
            <w:tcW w:type="dxa" w:w="4896"/>
          </w:tcPr>
          <w:p>
            <w:pPr>
              <w:spacing w:after="20"/>
            </w:pPr>
            <w:r>
              <w:rPr>
                <w:color w:val="2E3B38"/>
                <w:sz w:val="18"/>
              </w:rPr>
              <w:t>Operating Agreement / Company Agreement</w:t>
            </w:r>
          </w:p>
        </w:tc>
        <w:tc>
          <w:tcPr>
            <w:tcW w:type="dxa" w:w="4896"/>
          </w:tcPr>
          <w:p>
            <w:pPr>
              <w:spacing w:after="20"/>
            </w:pPr>
            <w:r>
              <w:rPr>
                <w:color w:val="2E3B38"/>
                <w:sz w:val="18"/>
              </w:rPr>
              <w:t>[3RD PARTY]</w:t>
            </w:r>
          </w:p>
        </w:tc>
      </w:tr>
      <w:tr>
        <w:tc>
          <w:tcPr>
            <w:tcW w:type="dxa" w:w="4896"/>
            <w:shd w:val="clear" w:fill="F7F6F3"/>
          </w:tcPr>
          <w:p>
            <w:pPr>
              <w:spacing w:after="20"/>
            </w:pPr>
            <w:r>
              <w:rPr>
                <w:color w:val="2E3B38"/>
                <w:sz w:val="18"/>
              </w:rPr>
              <w:t>EIN letter (SS-4 / CP 575)</w:t>
            </w:r>
          </w:p>
        </w:tc>
        <w:tc>
          <w:tcPr>
            <w:tcW w:type="dxa" w:w="4896"/>
            <w:shd w:val="clear" w:fill="F7F6F3"/>
          </w:tcPr>
          <w:p>
            <w:pPr>
              <w:spacing w:after="20"/>
            </w:pPr>
            <w:r>
              <w:rPr>
                <w:color w:val="2E3B38"/>
                <w:sz w:val="18"/>
              </w:rPr>
              <w:t>[3RD PARTY]</w:t>
            </w:r>
          </w:p>
        </w:tc>
      </w:tr>
      <w:tr>
        <w:tc>
          <w:tcPr>
            <w:tcW w:type="dxa" w:w="4896"/>
          </w:tcPr>
          <w:p>
            <w:pPr>
              <w:spacing w:after="20"/>
            </w:pPr>
            <w:r>
              <w:rPr>
                <w:color w:val="2E3B38"/>
                <w:sz w:val="18"/>
              </w:rPr>
              <w:t>Certificate of Good Standing, if requested</w:t>
            </w:r>
          </w:p>
        </w:tc>
        <w:tc>
          <w:tcPr>
            <w:tcW w:type="dxa" w:w="4896"/>
          </w:tcPr>
          <w:p>
            <w:pPr>
              <w:spacing w:after="20"/>
            </w:pPr>
            <w:r>
              <w:rPr>
                <w:color w:val="2E3B38"/>
                <w:sz w:val="18"/>
              </w:rPr>
              <w:t>[3RD PARTY]</w:t>
            </w:r>
          </w:p>
        </w:tc>
      </w:tr>
      <w:tr>
        <w:tc>
          <w:tcPr>
            <w:tcW w:type="dxa" w:w="4896"/>
            <w:shd w:val="clear" w:fill="F7F6F3"/>
          </w:tcPr>
          <w:p>
            <w:pPr>
              <w:spacing w:after="20"/>
            </w:pPr>
            <w:r>
              <w:rPr>
                <w:color w:val="2E3B38"/>
                <w:sz w:val="18"/>
              </w:rPr>
              <w:t>Driver's license or state ID — each principal and guarantor</w:t>
            </w:r>
          </w:p>
        </w:tc>
        <w:tc>
          <w:tcPr>
            <w:tcW w:type="dxa" w:w="4896"/>
            <w:shd w:val="clear" w:fill="F7F6F3"/>
          </w:tcPr>
          <w:p>
            <w:pPr>
              <w:spacing w:after="20"/>
            </w:pPr>
            <w:r>
              <w:rPr>
                <w:color w:val="2E3B38"/>
                <w:sz w:val="18"/>
              </w:rPr>
              <w:t>[3RD PARTY]</w:t>
            </w:r>
          </w:p>
        </w:tc>
      </w:tr>
      <w:tr>
        <w:tc>
          <w:tcPr>
            <w:tcW w:type="dxa" w:w="4896"/>
          </w:tcPr>
          <w:p>
            <w:pPr>
              <w:spacing w:after="20"/>
            </w:pPr>
            <w:r>
              <w:rPr>
                <w:color w:val="2E3B38"/>
                <w:sz w:val="18"/>
              </w:rPr>
              <w:t>Bank statements — down payment verification, 2 months</w:t>
            </w:r>
          </w:p>
        </w:tc>
        <w:tc>
          <w:tcPr>
            <w:tcW w:type="dxa" w:w="4896"/>
          </w:tcPr>
          <w:p>
            <w:pPr>
              <w:spacing w:after="20"/>
            </w:pPr>
            <w:r>
              <w:rPr>
                <w:color w:val="2E3B38"/>
                <w:sz w:val="18"/>
              </w:rPr>
              <w:t>[3RD PARTY]</w:t>
            </w:r>
          </w:p>
        </w:tc>
      </w:tr>
      <w:tr>
        <w:tc>
          <w:tcPr>
            <w:tcW w:type="dxa" w:w="4896"/>
            <w:shd w:val="clear" w:fill="F7F6F3"/>
          </w:tcPr>
          <w:p>
            <w:pPr>
              <w:spacing w:after="20"/>
            </w:pPr>
            <w:r>
              <w:rPr>
                <w:color w:val="2E3B38"/>
                <w:sz w:val="18"/>
              </w:rPr>
              <w:t>Proof of funds — closing costs and admin fee</w:t>
            </w:r>
          </w:p>
        </w:tc>
        <w:tc>
          <w:tcPr>
            <w:tcW w:type="dxa" w:w="4896"/>
            <w:shd w:val="clear" w:fill="F7F6F3"/>
          </w:tcPr>
          <w:p>
            <w:pPr>
              <w:spacing w:after="20"/>
            </w:pPr>
            <w:r>
              <w:rPr>
                <w:color w:val="2E3B38"/>
                <w:sz w:val="18"/>
              </w:rPr>
              <w:t>[3RD PARTY]</w:t>
            </w:r>
          </w:p>
        </w:tc>
      </w:tr>
      <w:tr>
        <w:tc>
          <w:tcPr>
            <w:tcW w:type="dxa" w:w="4896"/>
          </w:tcPr>
          <w:p>
            <w:pPr>
              <w:spacing w:after="20"/>
            </w:pPr>
            <w:r>
              <w:rPr>
                <w:color w:val="2E3B38"/>
                <w:sz w:val="18"/>
              </w:rPr>
              <w:t>Executed purchase contract + amendments</w:t>
            </w:r>
          </w:p>
        </w:tc>
        <w:tc>
          <w:tcPr>
            <w:tcW w:type="dxa" w:w="4896"/>
          </w:tcPr>
          <w:p>
            <w:pPr>
              <w:spacing w:after="20"/>
            </w:pPr>
            <w:r>
              <w:rPr>
                <w:color w:val="2E3B38"/>
                <w:sz w:val="18"/>
              </w:rPr>
              <w:t>[3RD PARTY]</w:t>
            </w:r>
          </w:p>
        </w:tc>
      </w:tr>
      <w:tr>
        <w:tc>
          <w:tcPr>
            <w:tcW w:type="dxa" w:w="4896"/>
            <w:shd w:val="clear" w:fill="F7F6F3"/>
          </w:tcPr>
          <w:p>
            <w:pPr>
              <w:spacing w:after="20"/>
            </w:pPr>
            <w:r>
              <w:rPr>
                <w:color w:val="2E3B38"/>
                <w:sz w:val="18"/>
              </w:rPr>
              <w:t>Final rehab budget submitted</w:t>
            </w:r>
          </w:p>
        </w:tc>
        <w:tc>
          <w:tcPr>
            <w:tcW w:type="dxa" w:w="4896"/>
            <w:shd w:val="clear" w:fill="F7F6F3"/>
          </w:tcPr>
          <w:p>
            <w:pPr>
              <w:spacing w:after="20"/>
            </w:pPr>
            <w:r>
              <w:rPr>
                <w:color w:val="2E3B38"/>
                <w:sz w:val="18"/>
              </w:rPr>
              <w:t>[3RD PARTY]</w:t>
            </w:r>
          </w:p>
        </w:tc>
      </w:tr>
      <w:tr>
        <w:tc>
          <w:tcPr>
            <w:tcW w:type="dxa" w:w="4896"/>
          </w:tcPr>
          <w:p>
            <w:pPr>
              <w:spacing w:after="20"/>
            </w:pPr>
            <w:r>
              <w:rPr>
                <w:color w:val="2E3B38"/>
                <w:sz w:val="18"/>
              </w:rPr>
              <w:t>Insurance binder — Lazy Dog as mortgagee &amp; loss payee</w:t>
            </w:r>
          </w:p>
        </w:tc>
        <w:tc>
          <w:tcPr>
            <w:tcW w:type="dxa" w:w="4896"/>
          </w:tcPr>
          <w:p>
            <w:pPr>
              <w:spacing w:after="20"/>
            </w:pPr>
            <w:r>
              <w:rPr>
                <w:color w:val="2E3B38"/>
                <w:sz w:val="18"/>
              </w:rPr>
              <w:t>[3RD PARTY]</w:t>
            </w:r>
          </w:p>
        </w:tc>
      </w:tr>
      <w:tr>
        <w:tc>
          <w:tcPr>
            <w:tcW w:type="dxa" w:w="4896"/>
            <w:shd w:val="clear" w:fill="F7F6F3"/>
          </w:tcPr>
          <w:p>
            <w:pPr>
              <w:spacing w:after="20"/>
            </w:pPr>
            <w:r>
              <w:rPr>
                <w:color w:val="2E3B38"/>
                <w:sz w:val="18"/>
              </w:rPr>
              <w:t>Schedule of Real Estate Owned &amp; Flip Experience</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Conditions follow-up email — what's still outstanding</w:t>
            </w:r>
          </w:p>
        </w:tc>
        <w:tc>
          <w:tcPr>
            <w:tcW w:type="dxa" w:w="4896"/>
          </w:tcPr>
          <w:p>
            <w:pPr>
              <w:spacing w:after="20"/>
            </w:pPr>
            <w:r>
              <w:rPr>
                <w:color w:val="2E3B38"/>
                <w:sz w:val="18"/>
              </w:rPr>
              <w:t>[HAVE]</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05 — CAPITAL PARTNER (PARALLEL TRACK)</w:t>
      </w:r>
    </w:p>
    <w:p>
      <w:pPr>
        <w:spacing w:after="120"/>
      </w:pPr>
      <w:r>
        <w:rPr>
          <w:i/>
          <w:color w:val="6B7A75"/>
          <w:sz w:val="21"/>
        </w:rPr>
        <w:t xml:space="preserve">Three tracks. </w:t>
      </w:r>
      <w:r>
        <w:rPr>
          <w:i/>
          <w:color w:val="6B7A75"/>
          <w:sz w:val="21"/>
        </w:rPr>
        <w:t>05A</w:t>
      </w:r>
      <w:r>
        <w:rPr>
          <w:i/>
          <w:color w:val="6B7A75"/>
          <w:sz w:val="21"/>
        </w:rPr>
        <w:t xml:space="preserve"> happens once per partner. </w:t>
      </w:r>
      <w:r>
        <w:rPr>
          <w:i/>
          <w:color w:val="6B7A75"/>
          <w:sz w:val="21"/>
        </w:rPr>
        <w:t>05B</w:t>
      </w:r>
      <w:r>
        <w:rPr>
          <w:i/>
          <w:color w:val="6B7A75"/>
          <w:sz w:val="21"/>
        </w:rPr>
        <w:t xml:space="preserve"> happens once per deal, per partner. </w:t>
      </w:r>
      <w:r>
        <w:rPr>
          <w:i/>
          <w:color w:val="6B7A75"/>
          <w:sz w:val="21"/>
        </w:rPr>
        <w:t>05C</w:t>
      </w:r>
      <w:r>
        <w:rPr>
          <w:i/>
          <w:color w:val="6B7A75"/>
          <w:sz w:val="21"/>
        </w:rPr>
        <w:t xml:space="preserve"> picks up any deal Lazy Dog had to self-fund — the Capital Partner Agreement and the funded amount are both per loan. Partners hold standing commitments but review and approve each deal individually.</w:t>
      </w:r>
    </w:p>
    <w:p>
      <w:pPr>
        <w:spacing w:after="120"/>
      </w:pPr>
      <w:r>
        <w:rPr>
          <w:i/>
          <w:color w:val="6B7A75"/>
          <w:sz w:val="21"/>
        </w:rPr>
        <w:t>Lazy Dog can fund a deal on its own, so this track never gates the Conditional Approval or the borrower timeline. It runs alongside stages 04–07 with its own cutoff.</w:t>
      </w:r>
    </w:p>
    <w:p>
      <w:pPr>
        <w:spacing w:after="120"/>
        <w:pBdr>
          <w:bottom w:val="single" w:sz="4" w:space="3" w:color="DFD8C8"/>
        </w:pBdr>
      </w:pPr>
    </w:p>
    <w:p>
      <w:pPr>
        <w:spacing w:before="180" w:after="60"/>
      </w:pPr>
      <w:r>
        <w:rPr>
          <w:rFonts w:ascii="Century Gothic" w:hAnsi="Century Gothic"/>
          <w:b/>
          <w:color w:val="1E3C36"/>
          <w:sz w:val="21"/>
        </w:rPr>
        <w:t>05A — Partner onboarding (once per partner)</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Capital Partner Pitch Document</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Capital Partner FAQ</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Sample Deal Case Study</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Accredited Investor Questionnaire</w:t>
            </w:r>
          </w:p>
        </w:tc>
        <w:tc>
          <w:tcPr>
            <w:tcW w:type="dxa" w:w="4896"/>
          </w:tcPr>
          <w:p>
            <w:pPr>
              <w:spacing w:after="20"/>
            </w:pPr>
            <w:r>
              <w:rPr>
                <w:color w:val="2E3B38"/>
                <w:sz w:val="18"/>
              </w:rPr>
              <w:t>[HAVE]</w:t>
            </w:r>
          </w:p>
        </w:tc>
      </w:tr>
      <w:tr>
        <w:tc>
          <w:tcPr>
            <w:tcW w:type="dxa" w:w="4896"/>
            <w:shd w:val="clear" w:fill="F7F6F3"/>
          </w:tcPr>
          <w:p>
            <w:pPr>
              <w:spacing w:after="20"/>
            </w:pPr>
            <w:r>
              <w:rPr>
                <w:b/>
                <w:color w:val="1E3C36"/>
                <w:sz w:val="18"/>
              </w:rPr>
              <w:t>W-9 — Capital Partner</w:t>
            </w:r>
            <w:r>
              <w:rPr>
                <w:color w:val="2E3B38"/>
                <w:sz w:val="18"/>
              </w:rPr>
              <w:t xml:space="preserve"> </w:t>
            </w:r>
            <w:r>
              <w:rPr>
                <w:i/>
                <w:color w:val="6B7A75"/>
                <w:sz w:val="18"/>
              </w:rPr>
              <w:t>(needed for 1099-INT)</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Partner profile — target amount, preferred deal size, payee details, wire instructions</w:t>
            </w:r>
          </w:p>
        </w:tc>
        <w:tc>
          <w:tcPr>
            <w:tcW w:type="dxa" w:w="4896"/>
          </w:tcPr>
          <w:p>
            <w:pPr>
              <w:spacing w:after="20"/>
            </w:pPr>
            <w:r>
              <w:rPr>
                <w:color w:val="2E3B38"/>
                <w:sz w:val="18"/>
              </w:rPr>
              <w:t>[HAVE]</w:t>
            </w:r>
          </w:p>
        </w:tc>
      </w:tr>
    </w:tbl>
    <w:p>
      <w:pPr>
        <w:spacing w:after="80"/>
      </w:pPr>
    </w:p>
    <w:p>
      <w:pPr>
        <w:spacing w:after="120"/>
      </w:pPr>
      <w:r>
        <w:rPr>
          <w:b/>
          <w:color w:val="1E3C36"/>
          <w:sz w:val="21"/>
        </w:rPr>
        <w:t>W-9 must name the actual payee</w:t>
      </w:r>
      <w:r>
        <w:rPr>
          <w:color w:val="2E3B38"/>
          <w:sz w:val="21"/>
        </w:rPr>
        <w:t xml:space="preserve"> — the same name that appears on the Collateral Assignment and receives the wire:</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t>INVESTING AS</w:t>
            </w:r>
          </w:p>
        </w:tc>
        <w:tc>
          <w:tcPr>
            <w:tcW w:type="dxa" w:w="3264"/>
            <w:shd w:val="clear" w:fill="1E3C36"/>
          </w:tcPr>
          <w:p>
            <w:pPr>
              <w:spacing w:after="20"/>
            </w:pPr>
            <w:r>
              <w:rPr>
                <w:rFonts w:ascii="Century Gothic" w:hAnsi="Century Gothic"/>
                <w:b/>
                <w:color w:val="F0EADE"/>
                <w:sz w:val="15"/>
              </w:rPr>
              <w:t>W-9 IN THE NAME OF</w:t>
            </w:r>
          </w:p>
        </w:tc>
        <w:tc>
          <w:tcPr>
            <w:tcW w:type="dxa" w:w="3264"/>
            <w:shd w:val="clear" w:fill="1E3C36"/>
          </w:tcPr>
          <w:p>
            <w:pPr>
              <w:spacing w:after="20"/>
            </w:pPr>
            <w:r>
              <w:rPr>
                <w:rFonts w:ascii="Century Gothic" w:hAnsi="Century Gothic"/>
                <w:b/>
                <w:color w:val="F0EADE"/>
                <w:sz w:val="15"/>
              </w:rPr>
              <w:t>TIN</w:t>
            </w:r>
          </w:p>
        </w:tc>
      </w:tr>
      <w:tr>
        <w:tc>
          <w:tcPr>
            <w:tcW w:type="dxa" w:w="3264"/>
            <w:shd w:val="clear" w:fill="F7F6F3"/>
          </w:tcPr>
          <w:p>
            <w:pPr>
              <w:spacing w:after="20"/>
            </w:pPr>
            <w:r>
              <w:rPr>
                <w:color w:val="2E3B38"/>
                <w:sz w:val="18"/>
              </w:rPr>
              <w:t>Individual</w:t>
            </w:r>
          </w:p>
        </w:tc>
        <w:tc>
          <w:tcPr>
            <w:tcW w:type="dxa" w:w="3264"/>
            <w:shd w:val="clear" w:fill="F7F6F3"/>
          </w:tcPr>
          <w:p>
            <w:pPr>
              <w:spacing w:after="20"/>
            </w:pPr>
            <w:r>
              <w:rPr>
                <w:color w:val="2E3B38"/>
                <w:sz w:val="18"/>
              </w:rPr>
              <w:t>the individual</w:t>
            </w:r>
          </w:p>
        </w:tc>
        <w:tc>
          <w:tcPr>
            <w:tcW w:type="dxa" w:w="3264"/>
            <w:shd w:val="clear" w:fill="F7F6F3"/>
          </w:tcPr>
          <w:p>
            <w:pPr>
              <w:spacing w:after="20"/>
            </w:pPr>
            <w:r>
              <w:rPr>
                <w:color w:val="2E3B38"/>
                <w:sz w:val="18"/>
              </w:rPr>
              <w:t>SSN</w:t>
            </w:r>
          </w:p>
        </w:tc>
      </w:tr>
      <w:tr>
        <w:tc>
          <w:tcPr>
            <w:tcW w:type="dxa" w:w="3264"/>
          </w:tcPr>
          <w:p>
            <w:pPr>
              <w:spacing w:after="20"/>
            </w:pPr>
            <w:r>
              <w:rPr>
                <w:color w:val="2E3B38"/>
                <w:sz w:val="18"/>
              </w:rPr>
              <w:t>LLC or trust</w:t>
            </w:r>
          </w:p>
        </w:tc>
        <w:tc>
          <w:tcPr>
            <w:tcW w:type="dxa" w:w="3264"/>
          </w:tcPr>
          <w:p>
            <w:pPr>
              <w:spacing w:after="20"/>
            </w:pPr>
            <w:r>
              <w:rPr>
                <w:color w:val="2E3B38"/>
                <w:sz w:val="18"/>
              </w:rPr>
              <w:t>that entity</w:t>
            </w:r>
          </w:p>
        </w:tc>
        <w:tc>
          <w:tcPr>
            <w:tcW w:type="dxa" w:w="3264"/>
          </w:tcPr>
          <w:p>
            <w:pPr>
              <w:spacing w:after="20"/>
            </w:pPr>
            <w:r>
              <w:rPr>
                <w:color w:val="2E3B38"/>
                <w:sz w:val="18"/>
              </w:rPr>
              <w:t>EIN</w:t>
            </w:r>
          </w:p>
        </w:tc>
      </w:tr>
      <w:tr>
        <w:tc>
          <w:tcPr>
            <w:tcW w:type="dxa" w:w="3264"/>
            <w:shd w:val="clear" w:fill="F7F6F3"/>
          </w:tcPr>
          <w:p>
            <w:pPr>
              <w:spacing w:after="20"/>
            </w:pPr>
            <w:r>
              <w:rPr>
                <w:color w:val="2E3B38"/>
                <w:sz w:val="18"/>
              </w:rPr>
              <w:t>Self-directed IRA</w:t>
            </w:r>
          </w:p>
        </w:tc>
        <w:tc>
          <w:tcPr>
            <w:tcW w:type="dxa" w:w="3264"/>
            <w:shd w:val="clear" w:fill="F7F6F3"/>
          </w:tcPr>
          <w:p>
            <w:pPr>
              <w:spacing w:after="20"/>
            </w:pPr>
            <w:r>
              <w:rPr>
                <w:b/>
                <w:color w:val="1E3C36"/>
                <w:sz w:val="18"/>
              </w:rPr>
              <w:t>the custodian, FBO the account</w:t>
            </w:r>
            <w:r>
              <w:rPr>
                <w:color w:val="2E3B38"/>
                <w:sz w:val="18"/>
              </w:rPr>
              <w:t xml:space="preserve"> — not the investor</w:t>
            </w:r>
          </w:p>
        </w:tc>
        <w:tc>
          <w:tcPr>
            <w:tcW w:type="dxa" w:w="3264"/>
            <w:shd w:val="clear" w:fill="F7F6F3"/>
          </w:tcPr>
          <w:p>
            <w:pPr>
              <w:spacing w:after="20"/>
            </w:pPr>
            <w:r>
              <w:rPr>
                <w:color w:val="2E3B38"/>
                <w:sz w:val="18"/>
              </w:rPr>
              <w:t>custodian's EIN</w:t>
            </w:r>
          </w:p>
        </w:tc>
      </w:tr>
    </w:tbl>
    <w:p>
      <w:pPr>
        <w:spacing w:after="80"/>
      </w:pPr>
    </w:p>
    <w:p>
      <w:pPr>
        <w:spacing w:after="120"/>
      </w:pPr>
      <w:r>
        <w:rPr>
          <w:i/>
          <w:color w:val="6B7A75"/>
          <w:sz w:val="21"/>
        </w:rPr>
        <w:t>If the W-9 name, the Collateral Assignment payee, and the wire recipient ever disagree, stop and reconcile before funding. Sending a 1099-INT to an SDIRA investor personally creates a taxable event they were specifically trying to avoid.</w:t>
      </w:r>
    </w:p>
    <w:p>
      <w:pPr>
        <w:spacing w:after="120"/>
        <w:pBdr>
          <w:bottom w:val="single" w:sz="4" w:space="3" w:color="DFD8C8"/>
        </w:pBdr>
      </w:pPr>
    </w:p>
    <w:p>
      <w:pPr>
        <w:spacing w:before="180" w:after="60"/>
      </w:pPr>
      <w:r>
        <w:rPr>
          <w:rFonts w:ascii="Century Gothic" w:hAnsi="Century Gothic"/>
          <w:b/>
          <w:color w:val="1E3C36"/>
          <w:sz w:val="21"/>
        </w:rPr>
        <w:t>05B — Deal offering (per deal, per partner)</w:t>
      </w:r>
    </w:p>
    <w:p>
      <w:pPr>
        <w:spacing w:after="120"/>
      </w:pPr>
      <w:r>
        <w:rPr>
          <w:i/>
          <w:color w:val="6B7A75"/>
          <w:sz w:val="21"/>
        </w:rPr>
        <w:t>Opens once underwriting clears — same trigger as the Conditional Approval.</w:t>
      </w:r>
    </w:p>
    <w:p>
      <w:pPr>
        <w:spacing w:after="120"/>
      </w:pPr>
      <w:r>
        <w:rPr>
          <w:b/>
          <w:color w:val="1E3C36"/>
          <w:sz w:val="21"/>
        </w:rPr>
        <w:t>Offered</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Capital Partner Deal Summary — property, amount, return, expected time frame, position</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Deal offering cover email</w:t>
            </w:r>
          </w:p>
        </w:tc>
        <w:tc>
          <w:tcPr>
            <w:tcW w:type="dxa" w:w="4896"/>
          </w:tcPr>
          <w:p>
            <w:pPr>
              <w:spacing w:after="20"/>
            </w:pPr>
            <w:r>
              <w:rPr>
                <w:color w:val="2E3B38"/>
                <w:sz w:val="18"/>
              </w:rPr>
              <w:t>[HAVE]</w:t>
            </w:r>
          </w:p>
        </w:tc>
      </w:tr>
    </w:tbl>
    <w:p>
      <w:pPr>
        <w:spacing w:after="80"/>
      </w:pPr>
    </w:p>
    <w:p>
      <w:pPr>
        <w:spacing w:after="120"/>
      </w:pPr>
      <w:r>
        <w:rPr>
          <w:b/>
          <w:color w:val="1E3C36"/>
          <w:sz w:val="21"/>
        </w:rPr>
        <w:t>Committed</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Commitment — partner replies to the offering email</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 xml:space="preserve">Capital Partner Agreement — </w:t>
            </w:r>
            <w:r>
              <w:rPr>
                <w:b/>
                <w:color w:val="1E3C36"/>
                <w:sz w:val="18"/>
              </w:rPr>
              <w:t>per deal, per partner</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Wire instructions letter — funds due 24 hrs before closing</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Wire receipt confirmation</w:t>
            </w:r>
          </w:p>
        </w:tc>
        <w:tc>
          <w:tcPr>
            <w:tcW w:type="dxa" w:w="4896"/>
          </w:tcPr>
          <w:p>
            <w:pPr>
              <w:spacing w:after="20"/>
            </w:pPr>
            <w:r>
              <w:rPr>
                <w:color w:val="2E3B38"/>
                <w:sz w:val="18"/>
              </w:rPr>
              <w:t>—</w:t>
            </w:r>
          </w:p>
        </w:tc>
      </w:tr>
    </w:tbl>
    <w:p>
      <w:pPr>
        <w:spacing w:after="80"/>
      </w:pPr>
    </w:p>
    <w:p>
      <w:pPr>
        <w:spacing w:after="120"/>
      </w:pPr>
      <w:r>
        <w:rPr>
          <w:b/>
          <w:color w:val="1E3C36"/>
          <w:sz w:val="21"/>
        </w:rPr>
        <w:t>At closing</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Collateral Assignment of Note and Deed of Trust — records immediately after the Deed of Trust</w:t>
            </w:r>
          </w:p>
        </w:tc>
        <w:tc>
          <w:tcPr>
            <w:tcW w:type="dxa" w:w="4896"/>
            <w:shd w:val="clear" w:fill="F7F6F3"/>
          </w:tcPr>
          <w:p>
            <w:pPr>
              <w:spacing w:after="20"/>
            </w:pPr>
            <w:r>
              <w:rPr>
                <w:color w:val="2E3B38"/>
                <w:sz w:val="18"/>
              </w:rPr>
              <w:t>[HAVE]</w:t>
            </w:r>
          </w:p>
        </w:tc>
      </w:tr>
    </w:tbl>
    <w:p>
      <w:pPr>
        <w:spacing w:after="80"/>
      </w:pPr>
    </w:p>
    <w:p>
      <w:pPr>
        <w:spacing w:after="120"/>
      </w:pPr>
      <w:r>
        <w:rPr>
          <w:b/>
          <w:color w:val="1E3C36"/>
          <w:sz w:val="21"/>
        </w:rPr>
        <w:t>If no partner commits before the cutoff</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ACTION</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Offer to the next partner on the list</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 xml:space="preserve">Lazy Dog funds the deal in full — </w:t>
            </w:r>
            <w:r>
              <w:rPr>
                <w:b/>
                <w:color w:val="1E3C36"/>
                <w:sz w:val="18"/>
              </w:rPr>
              <w:t>as a bridge, not an endpoint</w:t>
            </w:r>
          </w:p>
        </w:tc>
        <w:tc>
          <w:tcPr>
            <w:tcW w:type="dxa" w:w="4896"/>
          </w:tcPr>
          <w:p>
            <w:pPr>
              <w:spacing w:after="20"/>
            </w:pPr>
            <w:r>
              <w:rPr>
                <w:color w:val="2E3B38"/>
                <w:sz w:val="18"/>
              </w:rPr>
              <w:t>—</w:t>
            </w:r>
          </w:p>
        </w:tc>
      </w:tr>
      <w:tr>
        <w:tc>
          <w:tcPr>
            <w:tcW w:type="dxa" w:w="4896"/>
            <w:shd w:val="clear" w:fill="F7F6F3"/>
          </w:tcPr>
          <w:p>
            <w:pPr>
              <w:spacing w:after="20"/>
            </w:pPr>
            <w:r>
              <w:rPr>
                <w:color w:val="2E3B38"/>
                <w:sz w:val="18"/>
              </w:rPr>
              <w:t>Deal moves to 05C for post-closing assignment</w:t>
            </w:r>
          </w:p>
        </w:tc>
        <w:tc>
          <w:tcPr>
            <w:tcW w:type="dxa" w:w="4896"/>
            <w:shd w:val="clear" w:fill="F7F6F3"/>
          </w:tcPr>
          <w:p>
            <w:pPr>
              <w:spacing w:after="20"/>
            </w:pPr>
            <w:r>
              <w:rPr>
                <w:color w:val="2E3B38"/>
                <w:sz w:val="18"/>
              </w:rPr>
              <w:t>—</w:t>
            </w:r>
          </w:p>
        </w:tc>
      </w:tr>
    </w:tbl>
    <w:p>
      <w:pPr>
        <w:spacing w:after="80"/>
      </w:pPr>
    </w:p>
    <w:p>
      <w:pPr>
        <w:spacing w:after="120"/>
      </w:pPr>
      <w:r>
        <w:rPr>
          <w:b/>
          <w:color w:val="1E3C36"/>
          <w:sz w:val="21"/>
        </w:rPr>
        <w:t>Capital cutoff date.</w:t>
      </w:r>
      <w:r>
        <w:rPr>
          <w:color w:val="2E3B38"/>
          <w:sz w:val="21"/>
        </w:rPr>
        <w:t xml:space="preserve"> A commitment must be in hand by a stated date — 5 business days before target closing. After that, Lazy Dog funds it and the deal closes on time. Without a cutoff, a partner who is "thinking about it" holds a closing hostage.</w:t>
      </w:r>
    </w:p>
    <w:p>
      <w:pPr>
        <w:spacing w:after="120"/>
        <w:pBdr>
          <w:bottom w:val="single" w:sz="4" w:space="3" w:color="DFD8C8"/>
        </w:pBdr>
      </w:pPr>
    </w:p>
    <w:p>
      <w:pPr>
        <w:spacing w:before="180" w:after="60"/>
      </w:pPr>
      <w:r>
        <w:rPr>
          <w:rFonts w:ascii="Century Gothic" w:hAnsi="Century Gothic"/>
          <w:b/>
          <w:color w:val="1E3C36"/>
          <w:sz w:val="21"/>
        </w:rPr>
        <w:t>05C — Post-closing assignment (self-funded deals)</w:t>
      </w:r>
    </w:p>
    <w:p>
      <w:pPr>
        <w:spacing w:after="120"/>
      </w:pPr>
      <w:r>
        <w:rPr>
          <w:i/>
          <w:color w:val="6B7A75"/>
          <w:sz w:val="21"/>
        </w:rPr>
        <w:t>Lazy Dog's capital is the constraint on deal volume, not deal flow. Every self-funded loan is offered for assignment as soon as possible after closing so the capital can be recycled into the next deal.</w:t>
      </w:r>
    </w:p>
    <w:p>
      <w:pPr>
        <w:spacing w:after="120"/>
      </w:pPr>
      <w:r>
        <w:rPr>
          <w:b/>
          <w:color w:val="1E3C36"/>
          <w:sz w:val="21"/>
        </w:rPr>
        <w:t>How it differs from 05B</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r>
          </w:p>
        </w:tc>
        <w:tc>
          <w:tcPr>
            <w:tcW w:type="dxa" w:w="3264"/>
            <w:shd w:val="clear" w:fill="1E3C36"/>
          </w:tcPr>
          <w:p>
            <w:pPr>
              <w:spacing w:after="20"/>
            </w:pPr>
            <w:r>
              <w:rPr>
                <w:rFonts w:ascii="Century Gothic" w:hAnsi="Century Gothic"/>
                <w:b/>
                <w:color w:val="F0EADE"/>
                <w:sz w:val="15"/>
              </w:rPr>
              <w:t>PRE-CLOSING (05B)</w:t>
            </w:r>
          </w:p>
        </w:tc>
        <w:tc>
          <w:tcPr>
            <w:tcW w:type="dxa" w:w="3264"/>
            <w:shd w:val="clear" w:fill="1E3C36"/>
          </w:tcPr>
          <w:p>
            <w:pPr>
              <w:spacing w:after="20"/>
            </w:pPr>
            <w:r>
              <w:rPr>
                <w:rFonts w:ascii="Century Gothic" w:hAnsi="Century Gothic"/>
                <w:b/>
                <w:color w:val="F0EADE"/>
                <w:sz w:val="15"/>
              </w:rPr>
              <w:t>POST-CLOSING (05C)</w:t>
            </w:r>
          </w:p>
        </w:tc>
      </w:tr>
      <w:tr>
        <w:tc>
          <w:tcPr>
            <w:tcW w:type="dxa" w:w="3264"/>
            <w:shd w:val="clear" w:fill="F7F6F3"/>
          </w:tcPr>
          <w:p>
            <w:pPr>
              <w:spacing w:after="20"/>
            </w:pPr>
            <w:r>
              <w:rPr>
                <w:color w:val="2E3B38"/>
                <w:sz w:val="18"/>
              </w:rPr>
              <w:t>Collateral Assignment records</w:t>
            </w:r>
          </w:p>
        </w:tc>
        <w:tc>
          <w:tcPr>
            <w:tcW w:type="dxa" w:w="3264"/>
            <w:shd w:val="clear" w:fill="F7F6F3"/>
          </w:tcPr>
          <w:p>
            <w:pPr>
              <w:spacing w:after="20"/>
            </w:pPr>
            <w:r>
              <w:rPr>
                <w:color w:val="2E3B38"/>
                <w:sz w:val="18"/>
              </w:rPr>
              <w:t>immediately after the Deed of Trust</w:t>
            </w:r>
          </w:p>
        </w:tc>
        <w:tc>
          <w:tcPr>
            <w:tcW w:type="dxa" w:w="3264"/>
            <w:shd w:val="clear" w:fill="F7F6F3"/>
          </w:tcPr>
          <w:p>
            <w:pPr>
              <w:spacing w:after="20"/>
            </w:pPr>
            <w:r>
              <w:rPr>
                <w:color w:val="2E3B38"/>
                <w:sz w:val="18"/>
              </w:rPr>
              <w:t>separately, when the partner funds</w:t>
            </w:r>
          </w:p>
        </w:tc>
      </w:tr>
      <w:tr>
        <w:tc>
          <w:tcPr>
            <w:tcW w:type="dxa" w:w="3264"/>
          </w:tcPr>
          <w:p>
            <w:pPr>
              <w:spacing w:after="20"/>
            </w:pPr>
            <w:r>
              <w:rPr>
                <w:color w:val="2E3B38"/>
                <w:sz w:val="18"/>
              </w:rPr>
              <w:t>Partner's return begins</w:t>
            </w:r>
          </w:p>
        </w:tc>
        <w:tc>
          <w:tcPr>
            <w:tcW w:type="dxa" w:w="3264"/>
          </w:tcPr>
          <w:p>
            <w:pPr>
              <w:spacing w:after="20"/>
            </w:pPr>
            <w:r>
              <w:rPr>
                <w:color w:val="2E3B38"/>
                <w:sz w:val="18"/>
              </w:rPr>
              <w:t>closing date</w:t>
            </w:r>
          </w:p>
        </w:tc>
        <w:tc>
          <w:tcPr>
            <w:tcW w:type="dxa" w:w="3264"/>
          </w:tcPr>
          <w:p>
            <w:pPr>
              <w:spacing w:after="20"/>
            </w:pPr>
            <w:r>
              <w:rPr>
                <w:color w:val="2E3B38"/>
                <w:sz w:val="18"/>
              </w:rPr>
              <w:t>their funding date</w:t>
            </w:r>
          </w:p>
        </w:tc>
      </w:tr>
      <w:tr>
        <w:tc>
          <w:tcPr>
            <w:tcW w:type="dxa" w:w="3264"/>
            <w:shd w:val="clear" w:fill="F7F6F3"/>
          </w:tcPr>
          <w:p>
            <w:pPr>
              <w:spacing w:after="20"/>
            </w:pPr>
            <w:r>
              <w:rPr>
                <w:color w:val="2E3B38"/>
                <w:sz w:val="18"/>
              </w:rPr>
              <w:t>Wire goes to</w:t>
            </w:r>
          </w:p>
        </w:tc>
        <w:tc>
          <w:tcPr>
            <w:tcW w:type="dxa" w:w="3264"/>
            <w:shd w:val="clear" w:fill="F7F6F3"/>
          </w:tcPr>
          <w:p>
            <w:pPr>
              <w:spacing w:after="20"/>
            </w:pPr>
            <w:r>
              <w:rPr>
                <w:color w:val="2E3B38"/>
                <w:sz w:val="18"/>
              </w:rPr>
              <w:t>title company</w:t>
            </w:r>
          </w:p>
        </w:tc>
        <w:tc>
          <w:tcPr>
            <w:tcW w:type="dxa" w:w="3264"/>
            <w:shd w:val="clear" w:fill="F7F6F3"/>
          </w:tcPr>
          <w:p>
            <w:pPr>
              <w:spacing w:after="20"/>
            </w:pPr>
            <w:r>
              <w:rPr>
                <w:color w:val="2E3B38"/>
                <w:sz w:val="18"/>
              </w:rPr>
              <w:t>Lazy Dog, as reimbursement</w:t>
            </w:r>
          </w:p>
        </w:tc>
      </w:tr>
      <w:tr>
        <w:tc>
          <w:tcPr>
            <w:tcW w:type="dxa" w:w="3264"/>
          </w:tcPr>
          <w:p>
            <w:pPr>
              <w:spacing w:after="20"/>
            </w:pPr>
            <w:r>
              <w:rPr>
                <w:color w:val="2E3B38"/>
                <w:sz w:val="18"/>
              </w:rPr>
              <w:t>What the partner sees</w:t>
            </w:r>
          </w:p>
        </w:tc>
        <w:tc>
          <w:tcPr>
            <w:tcW w:type="dxa" w:w="3264"/>
          </w:tcPr>
          <w:p>
            <w:pPr>
              <w:spacing w:after="20"/>
            </w:pPr>
            <w:r>
              <w:rPr>
                <w:color w:val="2E3B38"/>
                <w:sz w:val="18"/>
              </w:rPr>
              <w:t>projected deal</w:t>
            </w:r>
          </w:p>
        </w:tc>
        <w:tc>
          <w:tcPr>
            <w:tcW w:type="dxa" w:w="3264"/>
          </w:tcPr>
          <w:p>
            <w:pPr>
              <w:spacing w:after="20"/>
            </w:pPr>
            <w:r>
              <w:rPr>
                <w:b/>
                <w:color w:val="1E3C36"/>
                <w:sz w:val="18"/>
              </w:rPr>
              <w:t>seasoned deal</w:t>
            </w:r>
            <w:r>
              <w:rPr>
                <w:color w:val="2E3B38"/>
                <w:sz w:val="18"/>
              </w:rPr>
              <w:t xml:space="preserve"> — work completed, draws taken, payment history</w:t>
            </w:r>
          </w:p>
        </w:tc>
      </w:tr>
    </w:tbl>
    <w:p>
      <w:pPr>
        <w:spacing w:after="80"/>
      </w:pPr>
    </w:p>
    <w:p>
      <w:pPr>
        <w:spacing w:after="120"/>
      </w:pPr>
      <w:r>
        <w:rPr>
          <w:b/>
          <w:color w:val="1E3C36"/>
          <w:sz w:val="21"/>
        </w:rPr>
        <w:t>Documents</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Capital Partner Deal Summary — seasoned version, with progress and payment history to date</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Commitment — partner replies to the offering email</w:t>
            </w:r>
          </w:p>
        </w:tc>
        <w:tc>
          <w:tcPr>
            <w:tcW w:type="dxa" w:w="4896"/>
          </w:tcPr>
          <w:p>
            <w:pPr>
              <w:spacing w:after="20"/>
            </w:pPr>
            <w:r>
              <w:rPr>
                <w:color w:val="2E3B38"/>
                <w:sz w:val="18"/>
              </w:rPr>
              <w:t>—</w:t>
            </w:r>
          </w:p>
        </w:tc>
      </w:tr>
      <w:tr>
        <w:tc>
          <w:tcPr>
            <w:tcW w:type="dxa" w:w="4896"/>
            <w:shd w:val="clear" w:fill="F7F6F3"/>
          </w:tcPr>
          <w:p>
            <w:pPr>
              <w:spacing w:after="20"/>
            </w:pPr>
            <w:r>
              <w:rPr>
                <w:color w:val="2E3B38"/>
                <w:sz w:val="18"/>
              </w:rPr>
              <w:t>Capital Partner Agreement — per deal, per partner</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Wire instructions — funds to Lazy Dog as reimbursement</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 xml:space="preserve">Collateral Assignment of Note and Deed of Trust — </w:t>
            </w:r>
            <w:r>
              <w:rPr>
                <w:b/>
                <w:color w:val="1E3C36"/>
                <w:sz w:val="18"/>
              </w:rPr>
              <w:t>recorded when the partner funds</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Recording Information Letter to Capital Partner</w:t>
            </w:r>
          </w:p>
        </w:tc>
        <w:tc>
          <w:tcPr>
            <w:tcW w:type="dxa" w:w="4896"/>
          </w:tcPr>
          <w:p>
            <w:pPr>
              <w:spacing w:after="20"/>
            </w:pPr>
            <w:r>
              <w:rPr>
                <w:color w:val="2E3B38"/>
                <w:sz w:val="18"/>
              </w:rPr>
              <w:t>[HAVE]</w:t>
            </w:r>
          </w:p>
        </w:tc>
      </w:tr>
    </w:tbl>
    <w:p>
      <w:pPr>
        <w:spacing w:after="80"/>
      </w:pPr>
    </w:p>
    <w:p>
      <w:pPr>
        <w:spacing w:after="120"/>
      </w:pPr>
      <w:r>
        <w:rPr>
          <w:b/>
          <w:color w:val="1E3C36"/>
          <w:sz w:val="21"/>
        </w:rPr>
        <w:t>Watch:</w:t>
      </w:r>
      <w:r>
        <w:rPr>
          <w:color w:val="2E3B38"/>
          <w:sz w:val="21"/>
        </w:rPr>
        <w:t xml:space="preserve"> the recorded Collateral Assignment must show no intervening lien between the Deed of Trust and the assignment. Run a current lien search before recording a post-closing assignment — a mechanic's lien filed during construction would sit ahead of it.</w:t>
      </w:r>
    </w:p>
    <w:p>
      <w:pPr>
        <w:spacing w:after="120"/>
      </w:pPr>
      <w:r>
        <w:rPr>
          <w:b/>
          <w:color w:val="1E3C36"/>
          <w:sz w:val="21"/>
        </w:rPr>
        <w:t>A seasoned deal is easier to sell.</w:t>
      </w:r>
      <w:r>
        <w:rPr>
          <w:color w:val="2E3B38"/>
          <w:sz w:val="21"/>
        </w:rPr>
        <w:t xml:space="preserve"> Demo done, draws performing, payments on time. Worth positioning that way rather than as leftover inventory.</w:t>
      </w:r>
    </w:p>
    <w:p>
      <w:pPr>
        <w:spacing w:after="120"/>
        <w:pBdr>
          <w:bottom w:val="single" w:sz="4" w:space="3" w:color="DFD8C8"/>
        </w:pBdr>
      </w:pPr>
    </w:p>
    <w:p>
      <w:pPr>
        <w:spacing w:before="180" w:after="60"/>
      </w:pPr>
      <w:r>
        <w:rPr>
          <w:rFonts w:ascii="Century Gothic" w:hAnsi="Century Gothic"/>
          <w:b/>
          <w:color w:val="1E3C36"/>
          <w:sz w:val="21"/>
        </w:rPr>
        <w:t>Investor-facing rules (apply to everything in 05A and 05B)</w:t>
      </w:r>
    </w:p>
    <w:p>
      <w:pPr>
        <w:pStyle w:val="ListBullet"/>
        <w:spacing w:after="60"/>
      </w:pPr>
      <w:r>
        <w:rPr>
          <w:color w:val="2E3B38"/>
          <w:sz w:val="21"/>
        </w:rPr>
        <w:t xml:space="preserve">The borrower's interest rate appears </w:t>
      </w:r>
      <w:r>
        <w:rPr>
          <w:b/>
          <w:color w:val="1E3C36"/>
          <w:sz w:val="21"/>
        </w:rPr>
        <w:t>nowhere</w:t>
      </w:r>
      <w:r>
        <w:rPr>
          <w:color w:val="2E3B38"/>
          <w:sz w:val="21"/>
        </w:rPr>
        <w:t>, and the Promissory Note is not enclosed</w:t>
      </w:r>
    </w:p>
    <w:p>
      <w:pPr>
        <w:pStyle w:val="ListBullet"/>
        <w:spacing w:after="60"/>
      </w:pPr>
      <w:r>
        <w:rPr>
          <w:color w:val="2E3B38"/>
          <w:sz w:val="21"/>
        </w:rPr>
        <w:t>No "term" language — use "expected time frame"</w:t>
      </w:r>
    </w:p>
    <w:p>
      <w:pPr>
        <w:pStyle w:val="ListBullet"/>
        <w:spacing w:after="60"/>
      </w:pPr>
      <w:r>
        <w:rPr>
          <w:color w:val="2E3B38"/>
          <w:sz w:val="21"/>
        </w:rPr>
        <w:t xml:space="preserve">Priority stated as </w:t>
      </w:r>
      <w:r>
        <w:rPr>
          <w:b/>
          <w:color w:val="1E3C36"/>
          <w:sz w:val="21"/>
        </w:rPr>
        <w:t>paid first / paid next / paid last</w:t>
      </w:r>
      <w:r>
        <w:rPr>
          <w:color w:val="2E3B38"/>
          <w:sz w:val="21"/>
        </w:rPr>
        <w:t>, not loss absorption</w:t>
      </w:r>
    </w:p>
    <w:p>
      <w:pPr>
        <w:pStyle w:val="ListBullet"/>
        <w:spacing w:after="60"/>
      </w:pPr>
      <w:r>
        <w:rPr>
          <w:color w:val="2E3B38"/>
          <w:sz w:val="21"/>
        </w:rPr>
        <w:t>No reference to any specific past deal by address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06 — PRE-CLOSING</w:t>
      </w:r>
    </w:p>
    <w:p>
      <w:pPr>
        <w:spacing w:after="120"/>
      </w:pPr>
      <w:r>
        <w:rPr>
          <w:i/>
          <w:color w:val="6B7A75"/>
          <w:sz w:val="21"/>
        </w:rPr>
        <w:t>Title ordered, documents drafted, nothing signed yet.</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b/>
                <w:color w:val="1E3C36"/>
                <w:sz w:val="18"/>
              </w:rPr>
              <w:t>Cleared to Close email</w:t>
            </w:r>
            <w:r>
              <w:rPr>
                <w:color w:val="2E3B38"/>
                <w:sz w:val="18"/>
              </w:rPr>
              <w:t xml:space="preserve"> — closing details, what to bring, funds due</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Closing Worksheet — Fillable (drives the merge)</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Title commitment (legal description comes from Schedule A)</w:t>
            </w:r>
          </w:p>
        </w:tc>
        <w:tc>
          <w:tcPr>
            <w:tcW w:type="dxa" w:w="4896"/>
            <w:shd w:val="clear" w:fill="F7F6F3"/>
          </w:tcPr>
          <w:p>
            <w:pPr>
              <w:spacing w:after="20"/>
            </w:pPr>
            <w:r>
              <w:rPr>
                <w:color w:val="2E3B38"/>
                <w:sz w:val="18"/>
              </w:rPr>
              <w:t>[3RD PARTY]</w:t>
            </w:r>
          </w:p>
        </w:tc>
      </w:tr>
      <w:tr>
        <w:tc>
          <w:tcPr>
            <w:tcW w:type="dxa" w:w="4896"/>
          </w:tcPr>
          <w:p>
            <w:pPr>
              <w:spacing w:after="20"/>
            </w:pPr>
            <w:r>
              <w:rPr>
                <w:color w:val="2E3B38"/>
                <w:sz w:val="18"/>
              </w:rPr>
              <w:t>Closing Instructions to Title Company</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Merge Masters — Note, Deed of Trust, Personal Guarantee, Business Purpose Affidavit, Loan Proposal, Payment Instructions</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Internal Loan Processing Checklist (Section 4)</w:t>
            </w:r>
          </w:p>
        </w:tc>
        <w:tc>
          <w:tcPr>
            <w:tcW w:type="dxa" w:w="4896"/>
          </w:tcPr>
          <w:p>
            <w:pPr>
              <w:spacing w:after="20"/>
            </w:pPr>
            <w:r>
              <w:rPr>
                <w:color w:val="2E3B38"/>
                <w:sz w:val="18"/>
              </w:rPr>
              <w:t>[HAVE]</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07 — CLOSING</w:t>
      </w:r>
    </w:p>
    <w:p>
      <w:pPr>
        <w:spacing w:after="120"/>
      </w:pPr>
      <w:r>
        <w:rPr>
          <w:i/>
          <w:color w:val="6B7A75"/>
          <w:sz w:val="21"/>
        </w:rPr>
        <w:t>Final tokenized packet, no leftover placeholders. Signature lines, notary blocks, and bank details go out blank.</w:t>
      </w:r>
    </w:p>
    <w:p>
      <w:pPr>
        <w:spacing w:after="120"/>
      </w:pPr>
      <w:r>
        <w:rPr>
          <w:b/>
          <w:color w:val="1E3C36"/>
          <w:sz w:val="21"/>
        </w:rPr>
        <w:t>Prepared by Lazy Dog and delivered to the title company</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Promissory Note</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 xml:space="preserve">Deed of Trust — </w:t>
            </w:r>
            <w:r>
              <w:rPr>
                <w:i/>
                <w:color w:val="6B7A75"/>
                <w:sz w:val="18"/>
              </w:rPr>
              <w:t>recorded</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Personal Guarantee — one per principal</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Business Purpose &amp; Non-Homestead Affidavit</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 xml:space="preserve">Payment Instructions </w:t>
            </w:r>
            <w:r>
              <w:rPr>
                <w:i/>
                <w:color w:val="6B7A75"/>
                <w:sz w:val="18"/>
              </w:rPr>
              <w:t>(was ACH Authorization)</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 xml:space="preserve">Loan Proposal </w:t>
            </w:r>
            <w:r>
              <w:rPr>
                <w:i/>
                <w:color w:val="6B7A75"/>
                <w:sz w:val="18"/>
              </w:rPr>
              <w:t>(merge master)</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W-9 — Borrower entity</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W-9 — each Guarantor individually</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 xml:space="preserve">Collateral Assignment — </w:t>
            </w:r>
            <w:r>
              <w:rPr>
                <w:i/>
                <w:color w:val="6B7A75"/>
                <w:sz w:val="18"/>
              </w:rPr>
              <w:t>recorded, CP deals only</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Closing Instructions to Title Company</w:t>
            </w:r>
          </w:p>
        </w:tc>
        <w:tc>
          <w:tcPr>
            <w:tcW w:type="dxa" w:w="4896"/>
          </w:tcPr>
          <w:p>
            <w:pPr>
              <w:spacing w:after="20"/>
            </w:pPr>
            <w:r>
              <w:rPr>
                <w:color w:val="2E3B38"/>
                <w:sz w:val="18"/>
              </w:rPr>
              <w:t>[HAVE]</w:t>
            </w:r>
          </w:p>
        </w:tc>
      </w:tr>
    </w:tbl>
    <w:p>
      <w:pPr>
        <w:spacing w:after="80"/>
      </w:pPr>
    </w:p>
    <w:p>
      <w:pPr>
        <w:spacing w:after="120"/>
      </w:pPr>
      <w:r>
        <w:rPr>
          <w:b/>
          <w:color w:val="1E3C36"/>
          <w:sz w:val="21"/>
        </w:rPr>
        <w:t>Funding</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ITEM</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 xml:space="preserve">Capital Partner wire received — 24 hrs before closing </w:t>
            </w:r>
            <w:r>
              <w:rPr>
                <w:i/>
                <w:color w:val="6B7A75"/>
                <w:sz w:val="18"/>
              </w:rPr>
              <w:t>(pre-closing CP deals)</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 xml:space="preserve">Settlement statement reviewed and </w:t>
            </w:r>
            <w:r>
              <w:rPr>
                <w:b/>
                <w:color w:val="1E3C36"/>
                <w:sz w:val="18"/>
              </w:rPr>
              <w:t>approved in writing</w:t>
            </w:r>
            <w:r>
              <w:rPr>
                <w:color w:val="2E3B38"/>
                <w:sz w:val="18"/>
              </w:rPr>
              <w:t xml:space="preserve"> by Lazy Dog</w:t>
            </w:r>
          </w:p>
        </w:tc>
        <w:tc>
          <w:tcPr>
            <w:tcW w:type="dxa" w:w="4896"/>
          </w:tcPr>
          <w:p>
            <w:pPr>
              <w:spacing w:after="20"/>
            </w:pPr>
            <w:r>
              <w:rPr>
                <w:color w:val="2E3B38"/>
                <w:sz w:val="18"/>
              </w:rPr>
              <w:t>—</w:t>
            </w:r>
          </w:p>
        </w:tc>
      </w:tr>
      <w:tr>
        <w:tc>
          <w:tcPr>
            <w:tcW w:type="dxa" w:w="4896"/>
            <w:shd w:val="clear" w:fill="F7F6F3"/>
          </w:tcPr>
          <w:p>
            <w:pPr>
              <w:spacing w:after="20"/>
            </w:pPr>
            <w:r>
              <w:rPr>
                <w:color w:val="2E3B38"/>
                <w:sz w:val="18"/>
              </w:rPr>
              <w:t xml:space="preserve">Lazy Dog funds the at-closing disbursement only — </w:t>
            </w:r>
            <w:r>
              <w:rPr>
                <w:b/>
                <w:color w:val="1E3C36"/>
                <w:sz w:val="18"/>
              </w:rPr>
              <w:t>holdback is not wired to escrow</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Wire confirmation</w:t>
            </w:r>
          </w:p>
        </w:tc>
        <w:tc>
          <w:tcPr>
            <w:tcW w:type="dxa" w:w="4896"/>
          </w:tcPr>
          <w:p>
            <w:pPr>
              <w:spacing w:after="20"/>
            </w:pPr>
            <w:r>
              <w:rPr>
                <w:color w:val="2E3B38"/>
                <w:sz w:val="18"/>
              </w:rPr>
              <w:t>[3RD PARTY]</w:t>
            </w:r>
          </w:p>
        </w:tc>
      </w:tr>
    </w:tbl>
    <w:p>
      <w:pPr>
        <w:spacing w:after="80"/>
      </w:pPr>
    </w:p>
    <w:p>
      <w:pPr>
        <w:spacing w:after="120"/>
      </w:pPr>
      <w:r>
        <w:rPr>
          <w:i/>
          <w:color w:val="6B7A75"/>
          <w:sz w:val="21"/>
        </w:rPr>
        <w:t>Recording sequence: seller's deed → Deed of Trust → Collateral Assignment, with no intervening instrument between the last two.</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08 — POST-CLOSING</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Recorded Deed of Trust</w:t>
            </w:r>
          </w:p>
        </w:tc>
        <w:tc>
          <w:tcPr>
            <w:tcW w:type="dxa" w:w="4896"/>
            <w:shd w:val="clear" w:fill="F7F6F3"/>
          </w:tcPr>
          <w:p>
            <w:pPr>
              <w:spacing w:after="20"/>
            </w:pPr>
            <w:r>
              <w:rPr>
                <w:color w:val="2E3B38"/>
                <w:sz w:val="18"/>
              </w:rPr>
              <w:t>[3RD PARTY]</w:t>
            </w:r>
          </w:p>
        </w:tc>
      </w:tr>
      <w:tr>
        <w:tc>
          <w:tcPr>
            <w:tcW w:type="dxa" w:w="4896"/>
          </w:tcPr>
          <w:p>
            <w:pPr>
              <w:spacing w:after="20"/>
            </w:pPr>
            <w:r>
              <w:rPr>
                <w:color w:val="2E3B38"/>
                <w:sz w:val="18"/>
              </w:rPr>
              <w:t>Recorded Collateral Assignment</w:t>
            </w:r>
          </w:p>
        </w:tc>
        <w:tc>
          <w:tcPr>
            <w:tcW w:type="dxa" w:w="4896"/>
          </w:tcPr>
          <w:p>
            <w:pPr>
              <w:spacing w:after="20"/>
            </w:pPr>
            <w:r>
              <w:rPr>
                <w:color w:val="2E3B38"/>
                <w:sz w:val="18"/>
              </w:rPr>
              <w:t>[3RD PARTY]</w:t>
            </w:r>
          </w:p>
        </w:tc>
      </w:tr>
      <w:tr>
        <w:tc>
          <w:tcPr>
            <w:tcW w:type="dxa" w:w="4896"/>
            <w:shd w:val="clear" w:fill="F7F6F3"/>
          </w:tcPr>
          <w:p>
            <w:pPr>
              <w:spacing w:after="20"/>
            </w:pPr>
            <w:r>
              <w:rPr>
                <w:color w:val="2E3B38"/>
                <w:sz w:val="18"/>
              </w:rPr>
              <w:t>Lender's title policy</w:t>
            </w:r>
          </w:p>
        </w:tc>
        <w:tc>
          <w:tcPr>
            <w:tcW w:type="dxa" w:w="4896"/>
            <w:shd w:val="clear" w:fill="F7F6F3"/>
          </w:tcPr>
          <w:p>
            <w:pPr>
              <w:spacing w:after="20"/>
            </w:pPr>
            <w:r>
              <w:rPr>
                <w:color w:val="2E3B38"/>
                <w:sz w:val="18"/>
              </w:rPr>
              <w:t>[3RD PARTY]</w:t>
            </w:r>
          </w:p>
        </w:tc>
      </w:tr>
      <w:tr>
        <w:tc>
          <w:tcPr>
            <w:tcW w:type="dxa" w:w="4896"/>
          </w:tcPr>
          <w:p>
            <w:pPr>
              <w:spacing w:after="20"/>
            </w:pPr>
            <w:r>
              <w:rPr>
                <w:color w:val="2E3B38"/>
                <w:sz w:val="18"/>
              </w:rPr>
              <w:t xml:space="preserve">Recording Information Letter to Capital Partner </w:t>
            </w:r>
            <w:r>
              <w:rPr>
                <w:i/>
                <w:color w:val="6B7A75"/>
                <w:sz w:val="18"/>
              </w:rPr>
              <w:t>(within 1 week)</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Welcome email — payments, draws, maturity</w:t>
            </w:r>
          </w:p>
        </w:tc>
        <w:tc>
          <w:tcPr>
            <w:tcW w:type="dxa" w:w="4896"/>
            <w:shd w:val="clear" w:fill="F7F6F3"/>
          </w:tcPr>
          <w:p>
            <w:pPr>
              <w:spacing w:after="20"/>
            </w:pPr>
            <w:r>
              <w:rPr>
                <w:color w:val="2E3B38"/>
                <w:sz w:val="18"/>
              </w:rPr>
              <w:t>[HAVE]</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09 — SERVICING</w:t>
      </w:r>
    </w:p>
    <w:p>
      <w:pPr>
        <w:spacing w:after="120"/>
      </w:pPr>
      <w:r>
        <w:rPr>
          <w:i/>
          <w:color w:val="6B7A75"/>
          <w:sz w:val="21"/>
        </w:rPr>
        <w:t>Recurring. Sub-folder by month or by draw.</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 xml:space="preserve">Draw request — </w:t>
            </w:r>
            <w:r>
              <w:rPr>
                <w:b/>
                <w:color w:val="1E3C36"/>
                <w:sz w:val="18"/>
              </w:rPr>
              <w:t>online form</w:t>
            </w:r>
            <w:r>
              <w:rPr>
                <w:color w:val="2E3B38"/>
                <w:sz w:val="18"/>
              </w:rPr>
              <w:t xml:space="preserve"> at </w:t>
            </w:r>
            <w:r>
              <w:rPr>
                <w:rFonts w:ascii="Consolas" w:hAnsi="Consolas"/>
                <w:color w:val="2E3B38"/>
                <w:sz w:val="18"/>
              </w:rPr>
              <w:t>lazydogcapital.com/resources/draw-request</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Draw Inspection Report</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Insurance renewal confirmation</w:t>
            </w:r>
          </w:p>
        </w:tc>
        <w:tc>
          <w:tcPr>
            <w:tcW w:type="dxa" w:w="4896"/>
            <w:shd w:val="clear" w:fill="F7F6F3"/>
          </w:tcPr>
          <w:p>
            <w:pPr>
              <w:spacing w:after="20"/>
            </w:pPr>
            <w:r>
              <w:rPr>
                <w:color w:val="2E3B38"/>
                <w:sz w:val="18"/>
              </w:rPr>
              <w:t>[3RD PARTY]</w:t>
            </w:r>
          </w:p>
        </w:tc>
      </w:tr>
      <w:tr>
        <w:tc>
          <w:tcPr>
            <w:tcW w:type="dxa" w:w="4896"/>
          </w:tcPr>
          <w:p>
            <w:pPr>
              <w:spacing w:after="20"/>
            </w:pPr>
            <w:r>
              <w:rPr>
                <w:color w:val="2E3B38"/>
                <w:sz w:val="18"/>
              </w:rPr>
              <w:t>Renewal &amp; Extension Agreement — papers the 3-month extension</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Maturity Reminder email — 60 / 30 days out</w:t>
            </w:r>
          </w:p>
        </w:tc>
        <w:tc>
          <w:tcPr>
            <w:tcW w:type="dxa" w:w="4896"/>
            <w:shd w:val="clear" w:fill="F7F6F3"/>
          </w:tcPr>
          <w:p>
            <w:pPr>
              <w:spacing w:after="20"/>
            </w:pPr>
            <w:r>
              <w:rPr>
                <w:color w:val="2E3B38"/>
                <w:sz w:val="18"/>
              </w:rPr>
              <w:t>[HAVE]</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10 — DEFAULT (ONLY IF NEEDED)</w:t>
      </w:r>
    </w:p>
    <w:p>
      <w:pPr>
        <w:spacing w:after="120"/>
      </w:pPr>
      <w:r>
        <w:rPr>
          <w:i/>
          <w:color w:val="6B7A75"/>
          <w:sz w:val="21"/>
        </w:rPr>
        <w:t xml:space="preserve">Two paths diverge here. </w:t>
      </w:r>
      <w:r>
        <w:rPr>
          <w:i/>
          <w:color w:val="6B7A75"/>
          <w:sz w:val="21"/>
        </w:rPr>
        <w:t>Foreclosure is the default path.</w:t>
      </w:r>
      <w:r>
        <w:rPr>
          <w:i/>
          <w:color w:val="6B7A75"/>
          <w:sz w:val="21"/>
        </w:rPr>
        <w:t xml:space="preserve"> The deed in lieu is the exception — used only when the property is underwater, the borrower is cooperative, and no other creditors are circling. The Acceptance Checklist decides which path a deal takes.</w:t>
      </w:r>
    </w:p>
    <w:p>
      <w:pPr>
        <w:spacing w:before="180" w:after="60"/>
      </w:pPr>
      <w:r>
        <w:rPr>
          <w:rFonts w:ascii="Century Gothic" w:hAnsi="Century Gothic"/>
          <w:b/>
          <w:color w:val="1E3C36"/>
          <w:sz w:val="21"/>
        </w:rPr>
        <w:t>10A — Notices (both paths)</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Notice of Default and Opportunity to Cure</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Notice of Acceleration</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Capital Partner default notification letter</w:t>
            </w:r>
          </w:p>
        </w:tc>
        <w:tc>
          <w:tcPr>
            <w:tcW w:type="dxa" w:w="4896"/>
            <w:shd w:val="clear" w:fill="F7F6F3"/>
          </w:tcPr>
          <w:p>
            <w:pPr>
              <w:spacing w:after="20"/>
            </w:pPr>
            <w:r>
              <w:rPr>
                <w:color w:val="2E3B38"/>
                <w:sz w:val="18"/>
              </w:rPr>
              <w:t>[HAVE]</w:t>
            </w:r>
          </w:p>
        </w:tc>
      </w:tr>
    </w:tbl>
    <w:p>
      <w:pPr>
        <w:spacing w:after="80"/>
      </w:pPr>
    </w:p>
    <w:p>
      <w:pPr>
        <w:spacing w:before="180" w:after="60"/>
      </w:pPr>
      <w:r>
        <w:rPr>
          <w:rFonts w:ascii="Century Gothic" w:hAnsi="Century Gothic"/>
          <w:b/>
          <w:color w:val="1E3C36"/>
          <w:sz w:val="21"/>
        </w:rPr>
        <w:t>10B — Foreclosure (default path)</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Notice of Trustee's Sale</w:t>
            </w:r>
          </w:p>
        </w:tc>
        <w:tc>
          <w:tcPr>
            <w:tcW w:type="dxa" w:w="4896"/>
            <w:shd w:val="clear" w:fill="F7F6F3"/>
          </w:tcPr>
          <w:p>
            <w:pPr>
              <w:spacing w:after="20"/>
            </w:pPr>
            <w:r>
              <w:rPr>
                <w:color w:val="2E3B38"/>
                <w:sz w:val="18"/>
              </w:rPr>
              <w:t>[BUILD — attorney-prepared]</w:t>
            </w:r>
          </w:p>
        </w:tc>
      </w:tr>
      <w:tr>
        <w:tc>
          <w:tcPr>
            <w:tcW w:type="dxa" w:w="4896"/>
          </w:tcPr>
          <w:p>
            <w:pPr>
              <w:spacing w:after="20"/>
            </w:pPr>
            <w:r>
              <w:rPr>
                <w:color w:val="2E3B38"/>
                <w:sz w:val="18"/>
              </w:rPr>
              <w:t>Trustee's Deed</w:t>
            </w:r>
          </w:p>
        </w:tc>
        <w:tc>
          <w:tcPr>
            <w:tcW w:type="dxa" w:w="4896"/>
          </w:tcPr>
          <w:p>
            <w:pPr>
              <w:spacing w:after="20"/>
            </w:pPr>
            <w:r>
              <w:rPr>
                <w:color w:val="2E3B38"/>
                <w:sz w:val="18"/>
              </w:rPr>
              <w:t>[3RD PARTY — attorney/trustee]</w:t>
            </w:r>
          </w:p>
        </w:tc>
      </w:tr>
      <w:tr>
        <w:tc>
          <w:tcPr>
            <w:tcW w:type="dxa" w:w="4896"/>
            <w:shd w:val="clear" w:fill="F7F6F3"/>
          </w:tcPr>
          <w:p>
            <w:pPr>
              <w:spacing w:after="20"/>
            </w:pPr>
            <w:r>
              <w:rPr>
                <w:color w:val="2E3B38"/>
                <w:sz w:val="18"/>
              </w:rPr>
              <w:t>Credit Bid Worksheet</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Capital Partner post-sale accounting</w:t>
            </w:r>
          </w:p>
        </w:tc>
        <w:tc>
          <w:tcPr>
            <w:tcW w:type="dxa" w:w="4896"/>
          </w:tcPr>
          <w:p>
            <w:pPr>
              <w:spacing w:after="20"/>
            </w:pPr>
            <w:r>
              <w:rPr>
                <w:color w:val="2E3B38"/>
                <w:sz w:val="18"/>
              </w:rPr>
              <w:t>[HAVE]</w:t>
            </w:r>
          </w:p>
        </w:tc>
      </w:tr>
    </w:tbl>
    <w:p>
      <w:pPr>
        <w:spacing w:after="80"/>
      </w:pPr>
    </w:p>
    <w:p>
      <w:pPr>
        <w:spacing w:after="120"/>
      </w:pPr>
      <w:r>
        <w:rPr>
          <w:i/>
          <w:color w:val="6B7A75"/>
          <w:sz w:val="21"/>
        </w:rPr>
        <w:t>Texas non-judicial foreclosure: 20-day cure notice, 21-day notice of sale, sale on the first Tuesday. Roughly 50–60 days. Produces clean insurable title and establishes value as a matter of law under BFP v. Resolution Trust.</w:t>
      </w:r>
    </w:p>
    <w:p>
      <w:pPr>
        <w:spacing w:before="180" w:after="60"/>
      </w:pPr>
      <w:r>
        <w:rPr>
          <w:rFonts w:ascii="Century Gothic" w:hAnsi="Century Gothic"/>
          <w:b/>
          <w:color w:val="1E3C36"/>
          <w:sz w:val="21"/>
        </w:rPr>
        <w:t>10C — Deed in Lieu of Foreclosure (exception path)</w:t>
      </w:r>
    </w:p>
    <w:p>
      <w:pPr>
        <w:spacing w:after="120"/>
      </w:pPr>
      <w:r>
        <w:rPr>
          <w:b/>
          <w:color w:val="1E3C36"/>
          <w:sz w:val="21"/>
        </w:rPr>
        <w:t>`Internal/` — never sent to borrower</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Deed in Lieu Acceptance Checklist</w:t>
            </w:r>
          </w:p>
        </w:tc>
        <w:tc>
          <w:tcPr>
            <w:tcW w:type="dxa" w:w="4896"/>
            <w:shd w:val="clear" w:fill="F7F6F3"/>
          </w:tcPr>
          <w:p>
            <w:pPr>
              <w:spacing w:after="20"/>
            </w:pPr>
            <w:r>
              <w:rPr>
                <w:color w:val="2E3B38"/>
                <w:sz w:val="18"/>
              </w:rPr>
              <w:t>[DRAFT — attorney review]</w:t>
            </w:r>
          </w:p>
        </w:tc>
      </w:tr>
      <w:tr>
        <w:tc>
          <w:tcPr>
            <w:tcW w:type="dxa" w:w="4896"/>
          </w:tcPr>
          <w:p>
            <w:pPr>
              <w:spacing w:after="20"/>
            </w:pPr>
            <w:r>
              <w:rPr>
                <w:color w:val="2E3B38"/>
                <w:sz w:val="18"/>
              </w:rPr>
              <w:t>Workout Worksheet (token source)</w:t>
            </w:r>
          </w:p>
        </w:tc>
        <w:tc>
          <w:tcPr>
            <w:tcW w:type="dxa" w:w="4896"/>
          </w:tcPr>
          <w:p>
            <w:pPr>
              <w:spacing w:after="20"/>
            </w:pPr>
            <w:r>
              <w:rPr>
                <w:color w:val="2E3B38"/>
                <w:sz w:val="18"/>
              </w:rPr>
              <w:t>[DRAFT — attorney review]</w:t>
            </w:r>
          </w:p>
        </w:tc>
      </w:tr>
      <w:tr>
        <w:tc>
          <w:tcPr>
            <w:tcW w:type="dxa" w:w="4896"/>
            <w:shd w:val="clear" w:fill="F7F6F3"/>
          </w:tcPr>
          <w:p>
            <w:pPr>
              <w:spacing w:after="20"/>
            </w:pPr>
            <w:r>
              <w:rPr>
                <w:color w:val="2E3B38"/>
                <w:sz w:val="18"/>
              </w:rPr>
              <w:t>Current lien search — abstractor, attorney, or county clerk</w:t>
            </w:r>
          </w:p>
        </w:tc>
        <w:tc>
          <w:tcPr>
            <w:tcW w:type="dxa" w:w="4896"/>
            <w:shd w:val="clear" w:fill="F7F6F3"/>
          </w:tcPr>
          <w:p>
            <w:pPr>
              <w:spacing w:after="20"/>
            </w:pPr>
            <w:r>
              <w:rPr>
                <w:color w:val="2E3B38"/>
                <w:sz w:val="18"/>
              </w:rPr>
              <w:t>[3RD PARTY]</w:t>
            </w:r>
          </w:p>
        </w:tc>
      </w:tr>
      <w:tr>
        <w:tc>
          <w:tcPr>
            <w:tcW w:type="dxa" w:w="4896"/>
          </w:tcPr>
          <w:p>
            <w:pPr>
              <w:spacing w:after="20"/>
            </w:pPr>
            <w:r>
              <w:rPr>
                <w:color w:val="2E3B38"/>
                <w:sz w:val="18"/>
              </w:rPr>
              <w:t>In-house as-is valuation and cost-to-complete estimate</w:t>
            </w:r>
          </w:p>
        </w:tc>
        <w:tc>
          <w:tcPr>
            <w:tcW w:type="dxa" w:w="4896"/>
          </w:tcPr>
          <w:p>
            <w:pPr>
              <w:spacing w:after="20"/>
            </w:pPr>
            <w:r>
              <w:rPr>
                <w:color w:val="2E3B38"/>
                <w:sz w:val="18"/>
              </w:rPr>
              <w:t>[BUILD]</w:t>
            </w:r>
          </w:p>
        </w:tc>
      </w:tr>
      <w:tr>
        <w:tc>
          <w:tcPr>
            <w:tcW w:type="dxa" w:w="4896"/>
            <w:shd w:val="clear" w:fill="F7F6F3"/>
          </w:tcPr>
          <w:p>
            <w:pPr>
              <w:spacing w:after="20"/>
            </w:pPr>
            <w:r>
              <w:rPr>
                <w:color w:val="2E3B38"/>
                <w:sz w:val="18"/>
              </w:rPr>
              <w:t>Photo/video condition documentation</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Capital Partner written consent to accept the deed</w:t>
            </w:r>
          </w:p>
        </w:tc>
        <w:tc>
          <w:tcPr>
            <w:tcW w:type="dxa" w:w="4896"/>
          </w:tcPr>
          <w:p>
            <w:pPr>
              <w:spacing w:after="20"/>
            </w:pPr>
            <w:r>
              <w:rPr>
                <w:color w:val="2E3B38"/>
                <w:sz w:val="18"/>
              </w:rPr>
              <w:t>[HAVE]</w:t>
            </w:r>
          </w:p>
        </w:tc>
      </w:tr>
    </w:tbl>
    <w:p>
      <w:pPr>
        <w:spacing w:after="80"/>
      </w:pPr>
    </w:p>
    <w:p>
      <w:pPr>
        <w:spacing w:after="120"/>
      </w:pPr>
      <w:r>
        <w:rPr>
          <w:b/>
          <w:color w:val="1E3C36"/>
          <w:sz w:val="21"/>
        </w:rPr>
        <w:t>Sent to borrower</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Cover Letter — deed in lieu offer</w:t>
            </w:r>
          </w:p>
        </w:tc>
        <w:tc>
          <w:tcPr>
            <w:tcW w:type="dxa" w:w="4896"/>
            <w:shd w:val="clear" w:fill="F7F6F3"/>
          </w:tcPr>
          <w:p>
            <w:pPr>
              <w:spacing w:after="20"/>
            </w:pPr>
            <w:r>
              <w:rPr>
                <w:color w:val="2E3B38"/>
                <w:sz w:val="18"/>
              </w:rPr>
              <w:t>[DRAFT — attorney review]</w:t>
            </w:r>
          </w:p>
        </w:tc>
      </w:tr>
      <w:tr>
        <w:tc>
          <w:tcPr>
            <w:tcW w:type="dxa" w:w="4896"/>
          </w:tcPr>
          <w:p>
            <w:pPr>
              <w:spacing w:after="20"/>
            </w:pPr>
            <w:r>
              <w:rPr>
                <w:color w:val="2E3B38"/>
                <w:sz w:val="18"/>
              </w:rPr>
              <w:t>Itemized Total Debt statement</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 xml:space="preserve">Settlement and Release Agreement </w:t>
            </w:r>
            <w:r>
              <w:rPr>
                <w:i/>
                <w:color w:val="6B7A75"/>
                <w:sz w:val="18"/>
              </w:rPr>
              <w:t>(incl. 12-month equity true-up, 5% disposition fee)</w:t>
            </w:r>
          </w:p>
        </w:tc>
        <w:tc>
          <w:tcPr>
            <w:tcW w:type="dxa" w:w="4896"/>
            <w:shd w:val="clear" w:fill="F7F6F3"/>
          </w:tcPr>
          <w:p>
            <w:pPr>
              <w:spacing w:after="20"/>
            </w:pPr>
            <w:r>
              <w:rPr>
                <w:color w:val="2E3B38"/>
                <w:sz w:val="18"/>
              </w:rPr>
              <w:t>[DRAFT — attorney review]</w:t>
            </w:r>
          </w:p>
        </w:tc>
      </w:tr>
      <w:tr>
        <w:tc>
          <w:tcPr>
            <w:tcW w:type="dxa" w:w="4896"/>
          </w:tcPr>
          <w:p>
            <w:pPr>
              <w:spacing w:after="20"/>
            </w:pPr>
            <w:r>
              <w:rPr>
                <w:color w:val="2E3B38"/>
                <w:sz w:val="18"/>
              </w:rPr>
              <w:t>Estoppel Affidavit + Schedule 1 — sworn, notarized</w:t>
            </w:r>
          </w:p>
        </w:tc>
        <w:tc>
          <w:tcPr>
            <w:tcW w:type="dxa" w:w="4896"/>
          </w:tcPr>
          <w:p>
            <w:pPr>
              <w:spacing w:after="20"/>
            </w:pPr>
            <w:r>
              <w:rPr>
                <w:color w:val="2E3B38"/>
                <w:sz w:val="18"/>
              </w:rPr>
              <w:t>[DRAFT — attorney review]</w:t>
            </w:r>
          </w:p>
        </w:tc>
      </w:tr>
      <w:tr>
        <w:tc>
          <w:tcPr>
            <w:tcW w:type="dxa" w:w="4896"/>
            <w:shd w:val="clear" w:fill="F7F6F3"/>
          </w:tcPr>
          <w:p>
            <w:pPr>
              <w:spacing w:after="20"/>
            </w:pPr>
            <w:r>
              <w:rPr>
                <w:color w:val="2E3B38"/>
                <w:sz w:val="18"/>
              </w:rPr>
              <w:t xml:space="preserve">Special Warranty Deed in Lieu — notarized, </w:t>
            </w:r>
            <w:r>
              <w:rPr>
                <w:b/>
                <w:color w:val="1E3C36"/>
                <w:sz w:val="18"/>
              </w:rPr>
              <w:t>recorded</w:t>
            </w:r>
          </w:p>
        </w:tc>
        <w:tc>
          <w:tcPr>
            <w:tcW w:type="dxa" w:w="4896"/>
            <w:shd w:val="clear" w:fill="F7F6F3"/>
          </w:tcPr>
          <w:p>
            <w:pPr>
              <w:spacing w:after="20"/>
            </w:pPr>
            <w:r>
              <w:rPr>
                <w:color w:val="2E3B38"/>
                <w:sz w:val="18"/>
              </w:rPr>
              <w:t>[DRAFT — attorney review]</w:t>
            </w:r>
          </w:p>
        </w:tc>
      </w:tr>
      <w:tr>
        <w:tc>
          <w:tcPr>
            <w:tcW w:type="dxa" w:w="4896"/>
          </w:tcPr>
          <w:p>
            <w:pPr>
              <w:spacing w:after="20"/>
            </w:pPr>
            <w:r>
              <w:rPr>
                <w:color w:val="2E3B38"/>
                <w:sz w:val="18"/>
              </w:rPr>
              <w:t>Bill of Sale and Assignment + Schedules A/B/C</w:t>
            </w:r>
          </w:p>
        </w:tc>
        <w:tc>
          <w:tcPr>
            <w:tcW w:type="dxa" w:w="4896"/>
          </w:tcPr>
          <w:p>
            <w:pPr>
              <w:spacing w:after="20"/>
            </w:pPr>
            <w:r>
              <w:rPr>
                <w:color w:val="2E3B38"/>
                <w:sz w:val="18"/>
              </w:rPr>
              <w:t>[DRAFT — attorney review]</w:t>
            </w:r>
          </w:p>
        </w:tc>
      </w:tr>
    </w:tbl>
    <w:p>
      <w:pPr>
        <w:spacing w:after="80"/>
      </w:pPr>
    </w:p>
    <w:p>
      <w:pPr>
        <w:spacing w:after="120"/>
      </w:pPr>
      <w:r>
        <w:rPr>
          <w:b/>
          <w:color w:val="1E3C36"/>
          <w:sz w:val="21"/>
        </w:rPr>
        <w:t>Abandoned — attorney context only</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 xml:space="preserve">Conditional Deed in Lieu Agreement </w:t>
            </w:r>
            <w:r>
              <w:rPr>
                <w:i/>
                <w:color w:val="6B7A75"/>
                <w:sz w:val="18"/>
              </w:rPr>
              <w:t>(sign-at-closing approach, rejected)</w:t>
            </w:r>
          </w:p>
        </w:tc>
        <w:tc>
          <w:tcPr>
            <w:tcW w:type="dxa" w:w="4896"/>
            <w:shd w:val="clear" w:fill="F7F6F3"/>
          </w:tcPr>
          <w:p>
            <w:pPr>
              <w:spacing w:after="20"/>
            </w:pPr>
            <w:r>
              <w:rPr>
                <w:color w:val="2E3B38"/>
                <w:sz w:val="18"/>
              </w:rPr>
              <w:t>[DRAFT — not for use]</w:t>
            </w:r>
          </w:p>
        </w:tc>
      </w:tr>
    </w:tbl>
    <w:p>
      <w:pPr>
        <w:spacing w:after="80"/>
      </w:pPr>
    </w:p>
    <w:p>
      <w:pPr>
        <w:spacing w:before="180" w:after="60"/>
      </w:pPr>
      <w:r>
        <w:rPr>
          <w:rFonts w:ascii="Century Gothic" w:hAnsi="Century Gothic"/>
          <w:b/>
          <w:color w:val="1E3C36"/>
          <w:sz w:val="21"/>
        </w:rPr>
        <w:t>10D — Post-acceptance filings (deed in lieu path only)</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ITEM</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Special Warranty Deed recorded — grantee address on face, Tex. Prop. Code § 11.003</w:t>
            </w:r>
          </w:p>
        </w:tc>
        <w:tc>
          <w:tcPr>
            <w:tcW w:type="dxa" w:w="4896"/>
            <w:shd w:val="clear" w:fill="F7F6F3"/>
          </w:tcPr>
          <w:p>
            <w:pPr>
              <w:spacing w:after="20"/>
            </w:pPr>
            <w:r>
              <w:rPr>
                <w:color w:val="2E3B38"/>
                <w:sz w:val="18"/>
              </w:rPr>
              <w:t>—</w:t>
            </w:r>
          </w:p>
        </w:tc>
      </w:tr>
      <w:tr>
        <w:tc>
          <w:tcPr>
            <w:tcW w:type="dxa" w:w="4896"/>
          </w:tcPr>
          <w:p>
            <w:pPr>
              <w:spacing w:after="20"/>
            </w:pPr>
            <w:r>
              <w:rPr>
                <w:b/>
                <w:color w:val="1E3C36"/>
                <w:sz w:val="18"/>
              </w:rPr>
              <w:t>Release of Lien NOT recorded</w:t>
            </w:r>
            <w:r>
              <w:rPr>
                <w:color w:val="2E3B38"/>
                <w:sz w:val="18"/>
              </w:rPr>
              <w:t xml:space="preserve"> — Deed of Trust lien preserved for the junior-lien remedy</w:t>
            </w:r>
          </w:p>
        </w:tc>
        <w:tc>
          <w:tcPr>
            <w:tcW w:type="dxa" w:w="4896"/>
          </w:tcPr>
          <w:p>
            <w:pPr>
              <w:spacing w:after="20"/>
            </w:pPr>
            <w:r>
              <w:rPr>
                <w:color w:val="2E3B38"/>
                <w:sz w:val="18"/>
              </w:rPr>
              <w:t>—</w:t>
            </w:r>
          </w:p>
        </w:tc>
      </w:tr>
      <w:tr>
        <w:tc>
          <w:tcPr>
            <w:tcW w:type="dxa" w:w="4896"/>
            <w:shd w:val="clear" w:fill="F7F6F3"/>
          </w:tcPr>
          <w:p>
            <w:pPr>
              <w:spacing w:after="20"/>
            </w:pPr>
            <w:r>
              <w:rPr>
                <w:color w:val="2E3B38"/>
                <w:sz w:val="18"/>
              </w:rPr>
              <w:t>Vacant/renovation insurance bound effective the recording date</w:t>
            </w:r>
          </w:p>
        </w:tc>
        <w:tc>
          <w:tcPr>
            <w:tcW w:type="dxa" w:w="4896"/>
            <w:shd w:val="clear" w:fill="F7F6F3"/>
          </w:tcPr>
          <w:p>
            <w:pPr>
              <w:spacing w:after="20"/>
            </w:pPr>
            <w:r>
              <w:rPr>
                <w:color w:val="2E3B38"/>
                <w:sz w:val="18"/>
              </w:rPr>
              <w:t>[3RD PARTY]</w:t>
            </w:r>
          </w:p>
        </w:tc>
      </w:tr>
      <w:tr>
        <w:tc>
          <w:tcPr>
            <w:tcW w:type="dxa" w:w="4896"/>
          </w:tcPr>
          <w:p>
            <w:pPr>
              <w:spacing w:after="20"/>
            </w:pPr>
            <w:r>
              <w:rPr>
                <w:color w:val="2E3B38"/>
                <w:sz w:val="18"/>
              </w:rPr>
              <w:t>IRS Form 1099-A</w:t>
            </w:r>
          </w:p>
        </w:tc>
        <w:tc>
          <w:tcPr>
            <w:tcW w:type="dxa" w:w="4896"/>
          </w:tcPr>
          <w:p>
            <w:pPr>
              <w:spacing w:after="20"/>
            </w:pPr>
            <w:r>
              <w:rPr>
                <w:color w:val="2E3B38"/>
                <w:sz w:val="18"/>
              </w:rPr>
              <w:t>[BUILD — form]</w:t>
            </w:r>
          </w:p>
        </w:tc>
      </w:tr>
      <w:tr>
        <w:tc>
          <w:tcPr>
            <w:tcW w:type="dxa" w:w="4896"/>
            <w:shd w:val="clear" w:fill="F7F6F3"/>
          </w:tcPr>
          <w:p>
            <w:pPr>
              <w:spacing w:after="20"/>
            </w:pPr>
            <w:r>
              <w:rPr>
                <w:color w:val="2E3B38"/>
                <w:sz w:val="18"/>
              </w:rPr>
              <w:t>IRS Form 1099-C, if deficiency waived</w:t>
            </w:r>
          </w:p>
        </w:tc>
        <w:tc>
          <w:tcPr>
            <w:tcW w:type="dxa" w:w="4896"/>
            <w:shd w:val="clear" w:fill="F7F6F3"/>
          </w:tcPr>
          <w:p>
            <w:pPr>
              <w:spacing w:after="20"/>
            </w:pPr>
            <w:r>
              <w:rPr>
                <w:color w:val="2E3B38"/>
                <w:sz w:val="18"/>
              </w:rPr>
              <w:t>[BUILD — form]</w:t>
            </w:r>
          </w:p>
        </w:tc>
      </w:tr>
      <w:tr>
        <w:tc>
          <w:tcPr>
            <w:tcW w:type="dxa" w:w="4896"/>
          </w:tcPr>
          <w:p>
            <w:pPr>
              <w:spacing w:after="20"/>
            </w:pPr>
            <w:r>
              <w:rPr>
                <w:color w:val="2E3B38"/>
                <w:sz w:val="18"/>
              </w:rPr>
              <w:t>County appraisal district — owner and mailing address update</w:t>
            </w:r>
          </w:p>
        </w:tc>
        <w:tc>
          <w:tcPr>
            <w:tcW w:type="dxa" w:w="4896"/>
          </w:tcPr>
          <w:p>
            <w:pPr>
              <w:spacing w:after="20"/>
            </w:pPr>
            <w:r>
              <w:rPr>
                <w:color w:val="2E3B38"/>
                <w:sz w:val="18"/>
              </w:rPr>
              <w:t>—</w:t>
            </w:r>
          </w:p>
        </w:tc>
      </w:tr>
      <w:tr>
        <w:tc>
          <w:tcPr>
            <w:tcW w:type="dxa" w:w="4896"/>
            <w:shd w:val="clear" w:fill="F7F6F3"/>
          </w:tcPr>
          <w:p>
            <w:pPr>
              <w:spacing w:after="20"/>
            </w:pPr>
            <w:r>
              <w:rPr>
                <w:color w:val="2E3B38"/>
                <w:sz w:val="18"/>
              </w:rPr>
              <w:t>HOA notification, if applicable</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Capital Partner notice of completed conveyance</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 xml:space="preserve">True-up deadline calendared </w:t>
            </w:r>
            <w:r>
              <w:rPr>
                <w:i/>
                <w:color w:val="6B7A75"/>
                <w:sz w:val="18"/>
              </w:rPr>
              <w:t>(recording + 12 months)</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True-Up Summary Statement at resale</w:t>
            </w:r>
          </w:p>
        </w:tc>
        <w:tc>
          <w:tcPr>
            <w:tcW w:type="dxa" w:w="4896"/>
          </w:tcPr>
          <w:p>
            <w:pPr>
              <w:spacing w:after="20"/>
            </w:pPr>
            <w:r>
              <w:rPr>
                <w:color w:val="2E3B38"/>
                <w:sz w:val="18"/>
              </w:rPr>
              <w:t>[HAVE]</w:t>
            </w:r>
          </w:p>
        </w:tc>
      </w:tr>
    </w:tbl>
    <w:p>
      <w:pPr>
        <w:spacing w:after="80"/>
      </w:pPr>
    </w:p>
    <w:p>
      <w:pPr>
        <w:spacing w:after="120"/>
      </w:pPr>
      <w:r>
        <w:rPr>
          <w:b/>
          <w:color w:val="1E3C36"/>
          <w:sz w:val="21"/>
        </w:rPr>
        <w:t>Standing gate:</w:t>
      </w:r>
      <w:r>
        <w:rPr>
          <w:color w:val="2E3B38"/>
          <w:sz w:val="21"/>
        </w:rPr>
        <w:t xml:space="preserve"> the entire 10C packet requires Texas real estate attorney review before use on any deal.</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11 — PAYOFF &amp; RELEASE</w:t>
      </w:r>
    </w:p>
    <w:p>
      <w:pPr>
        <w:spacing w:after="120"/>
      </w:pPr>
      <w:r>
        <w:rPr>
          <w:i/>
          <w:color w:val="6B7A75"/>
          <w:sz w:val="21"/>
        </w:rPr>
        <w:t>Triggered by a payoff request from the title company handling the borrower's sale or refinance.</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STATUS</w:t>
            </w:r>
          </w:p>
        </w:tc>
      </w:tr>
      <w:tr>
        <w:tc>
          <w:tcPr>
            <w:tcW w:type="dxa" w:w="4896"/>
            <w:shd w:val="clear" w:fill="F7F6F3"/>
          </w:tcPr>
          <w:p>
            <w:pPr>
              <w:spacing w:after="20"/>
            </w:pPr>
            <w:r>
              <w:rPr>
                <w:color w:val="2E3B38"/>
                <w:sz w:val="18"/>
              </w:rPr>
              <w:t>Payoff request from title company</w:t>
            </w:r>
          </w:p>
        </w:tc>
        <w:tc>
          <w:tcPr>
            <w:tcW w:type="dxa" w:w="4896"/>
            <w:shd w:val="clear" w:fill="F7F6F3"/>
          </w:tcPr>
          <w:p>
            <w:pPr>
              <w:spacing w:after="20"/>
            </w:pPr>
            <w:r>
              <w:rPr>
                <w:color w:val="2E3B38"/>
                <w:sz w:val="18"/>
              </w:rPr>
              <w:t>[3RD PARTY]</w:t>
            </w:r>
          </w:p>
        </w:tc>
      </w:tr>
      <w:tr>
        <w:tc>
          <w:tcPr>
            <w:tcW w:type="dxa" w:w="4896"/>
          </w:tcPr>
          <w:p>
            <w:pPr>
              <w:spacing w:after="20"/>
            </w:pPr>
            <w:r>
              <w:rPr>
                <w:color w:val="2E3B38"/>
                <w:sz w:val="18"/>
              </w:rPr>
              <w:t>Payoff Statement</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Payoff funds received</w:t>
            </w:r>
          </w:p>
        </w:tc>
        <w:tc>
          <w:tcPr>
            <w:tcW w:type="dxa" w:w="4896"/>
            <w:shd w:val="clear" w:fill="F7F6F3"/>
          </w:tcPr>
          <w:p>
            <w:pPr>
              <w:spacing w:after="20"/>
            </w:pPr>
            <w:r>
              <w:rPr>
                <w:color w:val="2E3B38"/>
                <w:sz w:val="18"/>
              </w:rPr>
              <w:t>—</w:t>
            </w:r>
          </w:p>
        </w:tc>
      </w:tr>
      <w:tr>
        <w:tc>
          <w:tcPr>
            <w:tcW w:type="dxa" w:w="4896"/>
          </w:tcPr>
          <w:p>
            <w:pPr>
              <w:spacing w:after="20"/>
            </w:pPr>
            <w:r>
              <w:rPr>
                <w:color w:val="2E3B38"/>
                <w:sz w:val="18"/>
              </w:rPr>
              <w:t xml:space="preserve">Release of Lien — </w:t>
            </w:r>
            <w:r>
              <w:rPr>
                <w:b/>
                <w:color w:val="1E3C36"/>
                <w:sz w:val="18"/>
              </w:rPr>
              <w:t>recorded</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 xml:space="preserve">Release of Collateral Assignment — </w:t>
            </w:r>
            <w:r>
              <w:rPr>
                <w:b/>
                <w:color w:val="1E3C36"/>
                <w:sz w:val="18"/>
              </w:rPr>
              <w:t>recorded</w:t>
            </w:r>
            <w:r>
              <w:rPr>
                <w:color w:val="2E3B38"/>
                <w:sz w:val="18"/>
              </w:rPr>
              <w:t xml:space="preserve">, within 10 business days </w:t>
            </w:r>
            <w:r>
              <w:rPr>
                <w:i/>
                <w:color w:val="6B7A75"/>
                <w:sz w:val="18"/>
              </w:rPr>
              <w:t>(CP deals)</w:t>
            </w:r>
          </w:p>
        </w:tc>
        <w:tc>
          <w:tcPr>
            <w:tcW w:type="dxa" w:w="4896"/>
            <w:shd w:val="clear" w:fill="F7F6F3"/>
          </w:tcPr>
          <w:p>
            <w:pPr>
              <w:spacing w:after="20"/>
            </w:pPr>
            <w:r>
              <w:rPr>
                <w:color w:val="2E3B38"/>
                <w:sz w:val="18"/>
              </w:rPr>
              <w:t>[HAVE]</w:t>
            </w:r>
          </w:p>
        </w:tc>
      </w:tr>
      <w:tr>
        <w:tc>
          <w:tcPr>
            <w:tcW w:type="dxa" w:w="4896"/>
          </w:tcPr>
          <w:p>
            <w:pPr>
              <w:spacing w:after="20"/>
            </w:pPr>
            <w:r>
              <w:rPr>
                <w:color w:val="2E3B38"/>
                <w:sz w:val="18"/>
              </w:rPr>
              <w:t>Capital Partner final payoff statement — principal + accrued return, then wire</w:t>
            </w:r>
          </w:p>
        </w:tc>
        <w:tc>
          <w:tcPr>
            <w:tcW w:type="dxa" w:w="4896"/>
          </w:tcPr>
          <w:p>
            <w:pPr>
              <w:spacing w:after="20"/>
            </w:pPr>
            <w:r>
              <w:rPr>
                <w:color w:val="2E3B38"/>
                <w:sz w:val="18"/>
              </w:rPr>
              <w:t>[HAVE]</w:t>
            </w:r>
          </w:p>
        </w:tc>
      </w:tr>
      <w:tr>
        <w:tc>
          <w:tcPr>
            <w:tcW w:type="dxa" w:w="4896"/>
            <w:shd w:val="clear" w:fill="F7F6F3"/>
          </w:tcPr>
          <w:p>
            <w:pPr>
              <w:spacing w:after="20"/>
            </w:pPr>
            <w:r>
              <w:rPr>
                <w:color w:val="2E3B38"/>
                <w:sz w:val="18"/>
              </w:rPr>
              <w:t>Closed loan file sign-off</w:t>
            </w:r>
          </w:p>
        </w:tc>
        <w:tc>
          <w:tcPr>
            <w:tcW w:type="dxa" w:w="4896"/>
            <w:shd w:val="clear" w:fill="F7F6F3"/>
          </w:tcPr>
          <w:p>
            <w:pPr>
              <w:spacing w:after="20"/>
            </w:pPr>
            <w:r>
              <w:rPr>
                <w:color w:val="2E3B38"/>
                <w:sz w:val="18"/>
              </w:rPr>
              <w:t>[HAVE]</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RECURRING</w:t>
      </w:r>
    </w:p>
    <w:p>
      <w:pPr>
        <w:spacing w:before="180" w:after="60"/>
      </w:pPr>
      <w:r>
        <w:rPr>
          <w:rFonts w:ascii="Century Gothic" w:hAnsi="Century Gothic"/>
          <w:b/>
          <w:color w:val="1E3C36"/>
          <w:sz w:val="21"/>
        </w:rPr>
        <w:t>Statements &amp; tax reporting</w:t>
      </w:r>
    </w:p>
    <w:p>
      <w:pPr>
        <w:spacing w:after="120"/>
      </w:pPr>
      <w:r>
        <w:rPr>
          <w:i/>
          <w:color w:val="6B7A75"/>
          <w:sz w:val="21"/>
        </w:rPr>
        <w:t>Recurring across all active loans, not tied to a single stage.</w:t>
      </w:r>
    </w:p>
    <w:p>
      <w:pPr>
        <w:spacing w:after="120"/>
      </w:pPr>
      <w:r>
        <w:rPr>
          <w:b/>
          <w:color w:val="1E3C36"/>
          <w:sz w:val="21"/>
        </w:rPr>
        <w:t>Monthly</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t>DOCUMENT</w:t>
            </w:r>
          </w:p>
        </w:tc>
        <w:tc>
          <w:tcPr>
            <w:tcW w:type="dxa" w:w="3264"/>
            <w:shd w:val="clear" w:fill="1E3C36"/>
          </w:tcPr>
          <w:p>
            <w:pPr>
              <w:spacing w:after="20"/>
            </w:pPr>
            <w:r>
              <w:rPr>
                <w:rFonts w:ascii="Century Gothic" w:hAnsi="Century Gothic"/>
                <w:b/>
                <w:color w:val="F0EADE"/>
                <w:sz w:val="15"/>
              </w:rPr>
              <w:t>TO</w:t>
            </w:r>
          </w:p>
        </w:tc>
        <w:tc>
          <w:tcPr>
            <w:tcW w:type="dxa" w:w="3264"/>
            <w:shd w:val="clear" w:fill="1E3C36"/>
          </w:tcPr>
          <w:p>
            <w:pPr>
              <w:spacing w:after="20"/>
            </w:pPr>
            <w:r>
              <w:rPr>
                <w:rFonts w:ascii="Century Gothic" w:hAnsi="Century Gothic"/>
                <w:b/>
                <w:color w:val="F0EADE"/>
                <w:sz w:val="15"/>
              </w:rPr>
              <w:t>STATUS</w:t>
            </w:r>
          </w:p>
        </w:tc>
      </w:tr>
      <w:tr>
        <w:tc>
          <w:tcPr>
            <w:tcW w:type="dxa" w:w="3264"/>
            <w:shd w:val="clear" w:fill="F7F6F3"/>
          </w:tcPr>
          <w:p>
            <w:pPr>
              <w:spacing w:after="20"/>
            </w:pPr>
            <w:r>
              <w:rPr>
                <w:color w:val="2E3B38"/>
                <w:sz w:val="18"/>
              </w:rPr>
              <w:t>Loan Statement — balance, days, daily rate, interest</w:t>
            </w:r>
          </w:p>
        </w:tc>
        <w:tc>
          <w:tcPr>
            <w:tcW w:type="dxa" w:w="3264"/>
            <w:shd w:val="clear" w:fill="F7F6F3"/>
          </w:tcPr>
          <w:p>
            <w:pPr>
              <w:spacing w:after="20"/>
            </w:pPr>
            <w:r>
              <w:rPr>
                <w:color w:val="2E3B38"/>
                <w:sz w:val="18"/>
              </w:rPr>
              <w:t>Borrower</w:t>
            </w:r>
          </w:p>
        </w:tc>
        <w:tc>
          <w:tcPr>
            <w:tcW w:type="dxa" w:w="3264"/>
            <w:shd w:val="clear" w:fill="F7F6F3"/>
          </w:tcPr>
          <w:p>
            <w:pPr>
              <w:spacing w:after="20"/>
            </w:pPr>
            <w:r>
              <w:rPr>
                <w:color w:val="2E3B38"/>
                <w:sz w:val="18"/>
              </w:rPr>
              <w:t>[HAVE]</w:t>
            </w:r>
          </w:p>
        </w:tc>
      </w:tr>
      <w:tr>
        <w:tc>
          <w:tcPr>
            <w:tcW w:type="dxa" w:w="3264"/>
          </w:tcPr>
          <w:p>
            <w:pPr>
              <w:spacing w:after="20"/>
            </w:pPr>
            <w:r>
              <w:rPr>
                <w:color w:val="2E3B38"/>
                <w:sz w:val="18"/>
              </w:rPr>
              <w:t>Capital Partner Statement — balance, return accrued and paid, project status</w:t>
            </w:r>
          </w:p>
        </w:tc>
        <w:tc>
          <w:tcPr>
            <w:tcW w:type="dxa" w:w="3264"/>
          </w:tcPr>
          <w:p>
            <w:pPr>
              <w:spacing w:after="20"/>
            </w:pPr>
            <w:r>
              <w:rPr>
                <w:color w:val="2E3B38"/>
                <w:sz w:val="18"/>
              </w:rPr>
              <w:t>Capital Partner</w:t>
            </w:r>
          </w:p>
        </w:tc>
        <w:tc>
          <w:tcPr>
            <w:tcW w:type="dxa" w:w="3264"/>
          </w:tcPr>
          <w:p>
            <w:pPr>
              <w:spacing w:after="20"/>
            </w:pPr>
            <w:r>
              <w:rPr>
                <w:color w:val="2E3B38"/>
                <w:sz w:val="18"/>
              </w:rPr>
              <w:t>[HAVE]</w:t>
            </w:r>
          </w:p>
        </w:tc>
      </w:tr>
    </w:tbl>
    <w:p>
      <w:pPr>
        <w:spacing w:after="80"/>
      </w:pPr>
    </w:p>
    <w:p>
      <w:pPr>
        <w:spacing w:after="120"/>
      </w:pPr>
      <w:r>
        <w:rPr>
          <w:b/>
          <w:color w:val="1E3C36"/>
          <w:sz w:val="21"/>
        </w:rPr>
        <w:t>Annual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TO</w:t>
            </w:r>
          </w:p>
        </w:tc>
        <w:tc>
          <w:tcPr>
            <w:tcW w:type="dxa" w:w="2448"/>
            <w:shd w:val="clear" w:fill="1E3C36"/>
          </w:tcPr>
          <w:p>
            <w:pPr>
              <w:spacing w:after="20"/>
            </w:pPr>
            <w:r>
              <w:rPr>
                <w:rFonts w:ascii="Century Gothic" w:hAnsi="Century Gothic"/>
                <w:b/>
                <w:color w:val="F0EADE"/>
                <w:sz w:val="15"/>
              </w:rPr>
              <w:t>DEADLINE</w:t>
            </w:r>
          </w:p>
        </w:tc>
        <w:tc>
          <w:tcPr>
            <w:tcW w:type="dxa" w:w="2448"/>
            <w:shd w:val="clear" w:fill="1E3C36"/>
          </w:tcPr>
          <w:p>
            <w:pPr>
              <w:spacing w:after="20"/>
            </w:pPr>
            <w:r>
              <w:rPr>
                <w:rFonts w:ascii="Century Gothic" w:hAnsi="Century Gothic"/>
                <w:b/>
                <w:color w:val="F0EADE"/>
                <w:sz w:val="15"/>
              </w:rPr>
              <w:t>STATUS</w:t>
            </w:r>
          </w:p>
        </w:tc>
      </w:tr>
      <w:tr>
        <w:tc>
          <w:tcPr>
            <w:tcW w:type="dxa" w:w="2448"/>
            <w:shd w:val="clear" w:fill="F7F6F3"/>
          </w:tcPr>
          <w:p>
            <w:pPr>
              <w:spacing w:after="20"/>
            </w:pPr>
            <w:r>
              <w:rPr>
                <w:color w:val="2E3B38"/>
                <w:sz w:val="18"/>
              </w:rPr>
              <w:t>Form 1099-INT — return paid</w:t>
            </w:r>
          </w:p>
        </w:tc>
        <w:tc>
          <w:tcPr>
            <w:tcW w:type="dxa" w:w="2448"/>
            <w:shd w:val="clear" w:fill="F7F6F3"/>
          </w:tcPr>
          <w:p>
            <w:pPr>
              <w:spacing w:after="20"/>
            </w:pPr>
            <w:r>
              <w:rPr>
                <w:color w:val="2E3B38"/>
                <w:sz w:val="18"/>
              </w:rPr>
              <w:t>Capital Partner</w:t>
            </w:r>
          </w:p>
        </w:tc>
        <w:tc>
          <w:tcPr>
            <w:tcW w:type="dxa" w:w="2448"/>
            <w:shd w:val="clear" w:fill="F7F6F3"/>
          </w:tcPr>
          <w:p>
            <w:pPr>
              <w:spacing w:after="20"/>
            </w:pPr>
            <w:r>
              <w:rPr>
                <w:color w:val="2E3B38"/>
                <w:sz w:val="18"/>
              </w:rPr>
              <w:t xml:space="preserve">Jan 31 / IRS by Feb 28 </w:t>
            </w:r>
            <w:r>
              <w:rPr>
                <w:i/>
                <w:color w:val="6B7A75"/>
                <w:sz w:val="18"/>
              </w:rPr>
              <w:t>(Mar 31 e-filed)</w:t>
            </w:r>
          </w:p>
        </w:tc>
        <w:tc>
          <w:tcPr>
            <w:tcW w:type="dxa" w:w="2448"/>
            <w:shd w:val="clear" w:fill="F7F6F3"/>
          </w:tcPr>
          <w:p>
            <w:pPr>
              <w:spacing w:after="20"/>
            </w:pPr>
            <w:r>
              <w:rPr>
                <w:color w:val="2E3B38"/>
                <w:sz w:val="18"/>
              </w:rPr>
              <w:t>[BUILD]</w:t>
            </w:r>
          </w:p>
        </w:tc>
      </w:tr>
      <w:tr>
        <w:tc>
          <w:tcPr>
            <w:tcW w:type="dxa" w:w="2448"/>
          </w:tcPr>
          <w:p>
            <w:pPr>
              <w:spacing w:after="20"/>
            </w:pPr>
            <w:r>
              <w:rPr>
                <w:color w:val="2E3B38"/>
                <w:sz w:val="18"/>
              </w:rPr>
              <w:t>Form 1099-A — acquisition of secured property</w:t>
            </w:r>
          </w:p>
        </w:tc>
        <w:tc>
          <w:tcPr>
            <w:tcW w:type="dxa" w:w="2448"/>
          </w:tcPr>
          <w:p>
            <w:pPr>
              <w:spacing w:after="20"/>
            </w:pPr>
            <w:r>
              <w:rPr>
                <w:color w:val="2E3B38"/>
                <w:sz w:val="18"/>
              </w:rPr>
              <w:t>Borrower</w:t>
            </w:r>
          </w:p>
        </w:tc>
        <w:tc>
          <w:tcPr>
            <w:tcW w:type="dxa" w:w="2448"/>
          </w:tcPr>
          <w:p>
            <w:pPr>
              <w:spacing w:after="20"/>
            </w:pPr>
            <w:r>
              <w:rPr>
                <w:color w:val="2E3B38"/>
                <w:sz w:val="18"/>
              </w:rPr>
              <w:t>Jan 31 / IRS by Feb 28</w:t>
            </w:r>
          </w:p>
        </w:tc>
        <w:tc>
          <w:tcPr>
            <w:tcW w:type="dxa" w:w="2448"/>
          </w:tcPr>
          <w:p>
            <w:pPr>
              <w:spacing w:after="20"/>
            </w:pPr>
            <w:r>
              <w:rPr>
                <w:color w:val="2E3B38"/>
                <w:sz w:val="18"/>
              </w:rPr>
              <w:t>[BUILD]</w:t>
            </w:r>
          </w:p>
        </w:tc>
      </w:tr>
      <w:tr>
        <w:tc>
          <w:tcPr>
            <w:tcW w:type="dxa" w:w="2448"/>
            <w:shd w:val="clear" w:fill="F7F6F3"/>
          </w:tcPr>
          <w:p>
            <w:pPr>
              <w:spacing w:after="20"/>
            </w:pPr>
            <w:r>
              <w:rPr>
                <w:color w:val="2E3B38"/>
                <w:sz w:val="18"/>
              </w:rPr>
              <w:t>Form 1099-C — cancellation of debt, if a deficiency was waived</w:t>
            </w:r>
          </w:p>
        </w:tc>
        <w:tc>
          <w:tcPr>
            <w:tcW w:type="dxa" w:w="2448"/>
            <w:shd w:val="clear" w:fill="F7F6F3"/>
          </w:tcPr>
          <w:p>
            <w:pPr>
              <w:spacing w:after="20"/>
            </w:pPr>
            <w:r>
              <w:rPr>
                <w:color w:val="2E3B38"/>
                <w:sz w:val="18"/>
              </w:rPr>
              <w:t>Borrower</w:t>
            </w:r>
          </w:p>
        </w:tc>
        <w:tc>
          <w:tcPr>
            <w:tcW w:type="dxa" w:w="2448"/>
            <w:shd w:val="clear" w:fill="F7F6F3"/>
          </w:tcPr>
          <w:p>
            <w:pPr>
              <w:spacing w:after="20"/>
            </w:pPr>
            <w:r>
              <w:rPr>
                <w:color w:val="2E3B38"/>
                <w:sz w:val="18"/>
              </w:rPr>
              <w:t>Jan 31 / IRS by Feb 28</w:t>
            </w:r>
          </w:p>
        </w:tc>
        <w:tc>
          <w:tcPr>
            <w:tcW w:type="dxa" w:w="2448"/>
            <w:shd w:val="clear" w:fill="F7F6F3"/>
          </w:tcPr>
          <w:p>
            <w:pPr>
              <w:spacing w:after="20"/>
            </w:pPr>
            <w:r>
              <w:rPr>
                <w:color w:val="2E3B38"/>
                <w:sz w:val="18"/>
              </w:rPr>
              <w:t>[BUILD]</w:t>
            </w:r>
          </w:p>
        </w:tc>
      </w:tr>
    </w:tbl>
    <w:p>
      <w:pPr>
        <w:spacing w:after="80"/>
      </w:pPr>
    </w:p>
    <w:p>
      <w:pPr>
        <w:spacing w:after="120"/>
      </w:pPr>
      <w:r>
        <w:rPr>
          <w:i/>
          <w:color w:val="6B7A75"/>
          <w:sz w:val="21"/>
        </w:rPr>
        <w:t>No separate year-end summary goes to capital partners — the 1099-INT is the only year-end document. Keep the per-deal accrual detail internally; you need it to prepare the 1099 anyway.</w:t>
      </w:r>
    </w:p>
    <w:p>
      <w:pPr>
        <w:spacing w:after="120"/>
      </w:pPr>
      <w:r>
        <w:rPr>
          <w:i/>
          <w:color w:val="6B7A75"/>
          <w:sz w:val="21"/>
        </w:rPr>
        <w:t>Payee name on every 1099-INT must match the W-9 and the Collateral Assignment. For a self-directed IRA that is the custodian FBO the account, not the investor personally.</w:t>
      </w:r>
    </w:p>
    <w:p>
      <w:pPr>
        <w:spacing w:after="120"/>
        <w:pBdr>
          <w:bottom w:val="single" w:sz="4" w:space="3" w:color="DFD8C8"/>
        </w:pBdr>
      </w:pPr>
    </w:p>
    <w:p>
      <w:pPr>
        <w:spacing w:after="120"/>
        <w:pBdr>
          <w:bottom w:val="single" w:sz="4" w:space="3" w:color="DFD8C8"/>
        </w:pBdr>
      </w:pPr>
    </w:p>
    <w:p>
      <w:pPr>
        <w:spacing w:after="40"/>
      </w:pPr>
      <w:r>
        <w:rPr>
          <w:rFonts w:ascii="Century Gothic" w:hAnsi="Century Gothic"/>
          <w:b/>
          <w:color w:val="1E3C36"/>
          <w:sz w:val="32"/>
        </w:rPr>
        <w:t>REFERENCE — SETTLED DECISIONS</w:t>
      </w:r>
    </w:p>
    <w:p>
      <w:pPr>
        <w:spacing w:before="260" w:after="80"/>
        <w:pBdr>
          <w:bottom w:val="single" w:sz="4" w:space="3" w:color="DFD8C8"/>
        </w:pBdr>
      </w:pPr>
      <w:r>
        <w:rPr>
          <w:rFonts w:ascii="Century Gothic" w:hAnsi="Century Gothic"/>
          <w:b/>
          <w:color w:val="1E3C36"/>
          <w:sz w:val="18"/>
        </w:rPr>
        <w:t>CAPITAL STACK — SETTLED</w:t>
      </w:r>
    </w:p>
    <w:p>
      <w:pPr>
        <w:spacing w:after="120"/>
      </w:pPr>
      <w:r>
        <w:rPr>
          <w:i/>
          <w:color w:val="6B7A75"/>
          <w:sz w:val="21"/>
        </w:rPr>
        <w:t>Every deal, no exceptions.</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t>LAYER</w:t>
            </w:r>
          </w:p>
        </w:tc>
        <w:tc>
          <w:tcPr>
            <w:tcW w:type="dxa" w:w="3264"/>
            <w:shd w:val="clear" w:fill="1E3C36"/>
          </w:tcPr>
          <w:p>
            <w:pPr>
              <w:spacing w:after="20"/>
            </w:pPr>
            <w:r>
              <w:rPr>
                <w:rFonts w:ascii="Century Gothic" w:hAnsi="Century Gothic"/>
                <w:b/>
                <w:color w:val="F0EADE"/>
                <w:sz w:val="15"/>
              </w:rPr>
              <w:t>AMOUNT</w:t>
            </w:r>
          </w:p>
        </w:tc>
        <w:tc>
          <w:tcPr>
            <w:tcW w:type="dxa" w:w="3264"/>
            <w:shd w:val="clear" w:fill="1E3C36"/>
          </w:tcPr>
          <w:p>
            <w:pPr>
              <w:spacing w:after="20"/>
            </w:pPr>
            <w:r>
              <w:rPr>
                <w:rFonts w:ascii="Century Gothic" w:hAnsi="Century Gothic"/>
                <w:b/>
                <w:color w:val="F0EADE"/>
                <w:sz w:val="15"/>
              </w:rPr>
              <w:t>NOTES</w:t>
            </w:r>
          </w:p>
        </w:tc>
      </w:tr>
      <w:tr>
        <w:tc>
          <w:tcPr>
            <w:tcW w:type="dxa" w:w="3264"/>
            <w:shd w:val="clear" w:fill="F7F6F3"/>
          </w:tcPr>
          <w:p>
            <w:pPr>
              <w:spacing w:after="20"/>
            </w:pPr>
            <w:r>
              <w:rPr>
                <w:color w:val="2E3B38"/>
                <w:sz w:val="18"/>
              </w:rPr>
              <w:t>Borrower down payment</w:t>
            </w:r>
          </w:p>
        </w:tc>
        <w:tc>
          <w:tcPr>
            <w:tcW w:type="dxa" w:w="3264"/>
            <w:shd w:val="clear" w:fill="F7F6F3"/>
          </w:tcPr>
          <w:p>
            <w:pPr>
              <w:spacing w:after="20"/>
            </w:pPr>
            <w:r>
              <w:rPr>
                <w:color w:val="2E3B38"/>
                <w:sz w:val="18"/>
              </w:rPr>
              <w:t xml:space="preserve">10% of </w:t>
            </w:r>
            <w:r>
              <w:rPr>
                <w:b/>
                <w:color w:val="1E3C36"/>
                <w:sz w:val="18"/>
              </w:rPr>
              <w:t>purchase price</w:t>
            </w:r>
          </w:p>
        </w:tc>
        <w:tc>
          <w:tcPr>
            <w:tcW w:type="dxa" w:w="3264"/>
            <w:shd w:val="clear" w:fill="F7F6F3"/>
          </w:tcPr>
          <w:p>
            <w:pPr>
              <w:spacing w:after="20"/>
            </w:pPr>
            <w:r>
              <w:rPr>
                <w:color w:val="2E3B38"/>
                <w:sz w:val="18"/>
              </w:rPr>
              <w:t>Their own cash, separate from and on top of the loan</w:t>
            </w:r>
          </w:p>
        </w:tc>
      </w:tr>
      <w:tr>
        <w:tc>
          <w:tcPr>
            <w:tcW w:type="dxa" w:w="3264"/>
          </w:tcPr>
          <w:p>
            <w:pPr>
              <w:spacing w:after="20"/>
            </w:pPr>
            <w:r>
              <w:rPr>
                <w:color w:val="2E3B38"/>
                <w:sz w:val="18"/>
              </w:rPr>
              <w:t>Loan amount</w:t>
            </w:r>
          </w:p>
        </w:tc>
        <w:tc>
          <w:tcPr>
            <w:tcW w:type="dxa" w:w="3264"/>
          </w:tcPr>
          <w:p>
            <w:pPr>
              <w:spacing w:after="20"/>
            </w:pPr>
            <w:r>
              <w:rPr>
                <w:color w:val="2E3B38"/>
                <w:sz w:val="18"/>
              </w:rPr>
              <w:t xml:space="preserve">80% of </w:t>
            </w:r>
            <w:r>
              <w:rPr>
                <w:b/>
                <w:color w:val="1E3C36"/>
                <w:sz w:val="18"/>
              </w:rPr>
              <w:t>ARV</w:t>
            </w:r>
          </w:p>
        </w:tc>
        <w:tc>
          <w:tcPr>
            <w:tcW w:type="dxa" w:w="3264"/>
          </w:tcPr>
          <w:p>
            <w:pPr>
              <w:spacing w:after="20"/>
            </w:pPr>
            <w:r>
              <w:rPr>
                <w:color w:val="2E3B38"/>
                <w:sz w:val="18"/>
              </w:rPr>
              <w:t>Recorded first lien, Lazy Dog Capital LLC as beneficiary</w:t>
            </w:r>
          </w:p>
        </w:tc>
      </w:tr>
      <w:tr>
        <w:tc>
          <w:tcPr>
            <w:tcW w:type="dxa" w:w="3264"/>
            <w:shd w:val="clear" w:fill="F7F6F3"/>
          </w:tcPr>
          <w:p>
            <w:pPr>
              <w:spacing w:after="20"/>
            </w:pPr>
            <w:r>
              <w:rPr>
                <w:color w:val="2E3B38"/>
                <w:sz w:val="18"/>
              </w:rPr>
              <w:t>— Capital Partner share</w:t>
            </w:r>
          </w:p>
        </w:tc>
        <w:tc>
          <w:tcPr>
            <w:tcW w:type="dxa" w:w="3264"/>
            <w:shd w:val="clear" w:fill="F7F6F3"/>
          </w:tcPr>
          <w:p>
            <w:pPr>
              <w:spacing w:after="20"/>
            </w:pPr>
            <w:r>
              <w:rPr>
                <w:color w:val="2E3B38"/>
                <w:sz w:val="18"/>
              </w:rPr>
              <w:t xml:space="preserve">50–60% </w:t>
            </w:r>
            <w:r>
              <w:rPr>
                <w:b/>
                <w:color w:val="1E3C36"/>
                <w:sz w:val="18"/>
              </w:rPr>
              <w:t>of the loan</w:t>
            </w:r>
          </w:p>
        </w:tc>
        <w:tc>
          <w:tcPr>
            <w:tcW w:type="dxa" w:w="3264"/>
            <w:shd w:val="clear" w:fill="F7F6F3"/>
          </w:tcPr>
          <w:p>
            <w:pPr>
              <w:spacing w:after="20"/>
            </w:pPr>
            <w:r>
              <w:rPr>
                <w:color w:val="2E3B38"/>
                <w:sz w:val="18"/>
              </w:rPr>
              <w:t xml:space="preserve">Secured by recorded Collateral Assignment, </w:t>
            </w:r>
            <w:r>
              <w:rPr>
                <w:b/>
                <w:color w:val="1E3C36"/>
                <w:sz w:val="18"/>
              </w:rPr>
              <w:t>not</w:t>
            </w:r>
            <w:r>
              <w:rPr>
                <w:color w:val="2E3B38"/>
                <w:sz w:val="18"/>
              </w:rPr>
              <w:t xml:space="preserve"> a second lien</w:t>
            </w:r>
          </w:p>
        </w:tc>
      </w:tr>
      <w:tr>
        <w:tc>
          <w:tcPr>
            <w:tcW w:type="dxa" w:w="3264"/>
          </w:tcPr>
          <w:p>
            <w:pPr>
              <w:spacing w:after="20"/>
            </w:pPr>
            <w:r>
              <w:rPr>
                <w:color w:val="2E3B38"/>
                <w:sz w:val="18"/>
              </w:rPr>
              <w:t>— Lazy Dog Capital share</w:t>
            </w:r>
          </w:p>
        </w:tc>
        <w:tc>
          <w:tcPr>
            <w:tcW w:type="dxa" w:w="3264"/>
          </w:tcPr>
          <w:p>
            <w:pPr>
              <w:spacing w:after="20"/>
            </w:pPr>
            <w:r>
              <w:rPr>
                <w:color w:val="2E3B38"/>
                <w:sz w:val="18"/>
              </w:rPr>
              <w:t xml:space="preserve">the balance, 40–50% </w:t>
            </w:r>
            <w:r>
              <w:rPr>
                <w:b/>
                <w:color w:val="1E3C36"/>
                <w:sz w:val="18"/>
              </w:rPr>
              <w:t>of the loan</w:t>
            </w:r>
          </w:p>
        </w:tc>
        <w:tc>
          <w:tcPr>
            <w:tcW w:type="dxa" w:w="3264"/>
          </w:tcPr>
          <w:p>
            <w:pPr>
              <w:spacing w:after="20"/>
            </w:pPr>
            <w:r>
              <w:rPr>
                <w:b/>
                <w:color w:val="1E3C36"/>
                <w:sz w:val="18"/>
              </w:rPr>
              <w:t>Lazy Dog has its own capital in every loan</w:t>
            </w:r>
          </w:p>
        </w:tc>
      </w:tr>
    </w:tbl>
    <w:p>
      <w:pPr>
        <w:spacing w:after="80"/>
      </w:pPr>
    </w:p>
    <w:p>
      <w:pPr>
        <w:spacing w:after="120"/>
      </w:pPr>
      <w:r>
        <w:rPr>
          <w:b/>
          <w:color w:val="1E3C36"/>
          <w:sz w:val="21"/>
        </w:rPr>
        <w:t>All percentages are share of the loan. The borrower's down payment is never in the denominator</w:t>
      </w:r>
      <w:r>
        <w:rPr>
          <w:color w:val="2E3B38"/>
          <w:sz w:val="21"/>
        </w:rPr>
        <w:t xml:space="preserve"> — it sits on top of the loan, not inside it. The Capital Partner rate tiers are defined against the loan facility, so mixing in the down payment would put a partner in the wrong tier.</w:t>
      </w:r>
    </w:p>
    <w:p>
      <w:pPr>
        <w:spacing w:after="120"/>
      </w:pPr>
      <w:r>
        <w:rPr>
          <w:b/>
          <w:color w:val="1E3C36"/>
          <w:sz w:val="21"/>
        </w:rPr>
        <w:t>Conditional Approval expires 30 days from issue</w:t>
      </w:r>
      <w:r>
        <w:rPr>
          <w:color w:val="2E3B38"/>
          <w:sz w:val="21"/>
        </w:rPr>
        <w:t>, extendable on request.</w:t>
      </w:r>
    </w:p>
    <w:p>
      <w:pPr>
        <w:spacing w:after="120"/>
      </w:pPr>
      <w:r>
        <w:rPr>
          <w:b/>
          <w:color w:val="1E3C36"/>
          <w:sz w:val="21"/>
        </w:rPr>
        <w:t>Payment schedule — settled.</w:t>
      </w:r>
      <w:r>
        <w:rPr>
          <w:color w:val="2E3B38"/>
          <w:sz w:val="21"/>
        </w:rPr>
        <w:t xml:space="preserve"> Monthly interest payment </w:t>
      </w:r>
      <w:r>
        <w:rPr>
          <w:b/>
          <w:color w:val="1E3C36"/>
          <w:sz w:val="21"/>
        </w:rPr>
        <w:t>due on the 1st</w:t>
      </w:r>
      <w:r>
        <w:rPr>
          <w:color w:val="2E3B38"/>
          <w:sz w:val="21"/>
        </w:rPr>
        <w:t xml:space="preserve">. Considered </w:t>
      </w:r>
      <w:r>
        <w:rPr>
          <w:b/>
          <w:color w:val="1E3C36"/>
          <w:sz w:val="21"/>
        </w:rPr>
        <w:t>late on the 4th</w:t>
      </w:r>
      <w:r>
        <w:rPr>
          <w:color w:val="2E3B38"/>
          <w:sz w:val="21"/>
        </w:rPr>
        <w:t xml:space="preserve">. The </w:t>
      </w:r>
      <w:r>
        <w:rPr>
          <w:b/>
          <w:color w:val="1E3C36"/>
          <w:sz w:val="21"/>
        </w:rPr>
        <w:t>4.00% late charge applies after the 10th day</w:t>
      </w:r>
      <w:r>
        <w:rPr>
          <w:color w:val="2E3B38"/>
          <w:sz w:val="21"/>
        </w:rPr>
        <w:t>. Lazy Dog does not auto-draft — a statement goes out and the borrower sends payment by ACH or through the portal.</w:t>
      </w:r>
    </w:p>
    <w:p>
      <w:pPr>
        <w:spacing w:after="120"/>
      </w:pPr>
      <w:r>
        <w:rPr>
          <w:b/>
          <w:color w:val="1E3C36"/>
          <w:sz w:val="21"/>
        </w:rPr>
        <w:t>Deal math — run in this order.</w:t>
      </w:r>
      <w:r>
        <w:rPr>
          <w:color w:val="2E3B38"/>
          <w:sz w:val="21"/>
        </w:rPr>
        <w:t xml:space="preserve"> ARV → Loan = ARV × 80% → Down payment = purchase × 10% → </w:t>
      </w:r>
      <w:r>
        <w:rPr>
          <w:b/>
          <w:color w:val="1E3C36"/>
          <w:sz w:val="21"/>
        </w:rPr>
        <w:t>Disbursed at closing = purchase − down payment</w:t>
      </w:r>
      <w:r>
        <w:rPr>
          <w:color w:val="2E3B38"/>
          <w:sz w:val="21"/>
        </w:rPr>
        <w:t xml:space="preserve"> → </w:t>
      </w:r>
      <w:r>
        <w:rPr>
          <w:b/>
          <w:color w:val="1E3C36"/>
          <w:sz w:val="21"/>
        </w:rPr>
        <w:t>Holdback = loan − disbursed at closing</w:t>
      </w:r>
      <w:r>
        <w:rPr>
          <w:color w:val="2E3B38"/>
          <w:sz w:val="21"/>
        </w:rPr>
        <w:t>. The holdback must be at least the verified rehab budget; if it is not, the deal is short.</w:t>
      </w:r>
    </w:p>
    <w:p>
      <w:pPr>
        <w:spacing w:after="120"/>
      </w:pPr>
      <w:r>
        <w:rPr>
          <w:b/>
          <w:color w:val="1E3C36"/>
          <w:sz w:val="21"/>
        </w:rPr>
        <w:t>Signature convention — settled.</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ONE MANAGER SIGNS</w:t>
            </w:r>
          </w:p>
        </w:tc>
        <w:tc>
          <w:tcPr>
            <w:tcW w:type="dxa" w:w="4896"/>
            <w:shd w:val="clear" w:fill="1E3C36"/>
          </w:tcPr>
          <w:p>
            <w:pPr>
              <w:spacing w:after="20"/>
            </w:pPr>
            <w:r>
              <w:rPr>
                <w:rFonts w:ascii="Century Gothic" w:hAnsi="Century Gothic"/>
                <w:b/>
                <w:color w:val="F0EADE"/>
                <w:sz w:val="15"/>
              </w:rPr>
              <w:t>BOTH MANAGERS SIGN</w:t>
            </w:r>
          </w:p>
        </w:tc>
      </w:tr>
      <w:tr>
        <w:tc>
          <w:tcPr>
            <w:tcW w:type="dxa" w:w="4896"/>
            <w:shd w:val="clear" w:fill="F7F6F3"/>
          </w:tcPr>
          <w:p>
            <w:pPr>
              <w:spacing w:after="20"/>
            </w:pPr>
            <w:r>
              <w:rPr>
                <w:color w:val="2E3B38"/>
                <w:sz w:val="18"/>
              </w:rPr>
              <w:t>Loan Proposal · Conditional Approval · Closing Instructions to Title Company · all cover letters and emails · Draw approvals · Payoff Statement</w:t>
            </w:r>
          </w:p>
        </w:tc>
        <w:tc>
          <w:tcPr>
            <w:tcW w:type="dxa" w:w="4896"/>
            <w:shd w:val="clear" w:fill="F7F6F3"/>
          </w:tcPr>
          <w:p>
            <w:pPr>
              <w:spacing w:after="20"/>
            </w:pPr>
            <w:r>
              <w:rPr>
                <w:color w:val="2E3B38"/>
                <w:sz w:val="18"/>
              </w:rPr>
              <w:t>Promissory Note-related closing documents · Capital Partner Agreement · Collateral Assignment · Personal Guarantee acceptance · Settlement &amp; Release Agreement · Special Warranty Deed acceptance · Notice of Default · Release of Lien · Release of Collateral Assignment</w:t>
            </w:r>
          </w:p>
        </w:tc>
      </w:tr>
    </w:tbl>
    <w:p>
      <w:pPr>
        <w:spacing w:after="80"/>
      </w:pPr>
    </w:p>
    <w:p>
      <w:pPr>
        <w:spacing w:after="120"/>
      </w:pPr>
      <w:r>
        <w:rPr>
          <w:i/>
          <w:color w:val="6B7A75"/>
          <w:sz w:val="21"/>
        </w:rPr>
        <w:t>Rule of thumb: if the document creates or releases an obligation of Lazy Dog Capital LLC, both Managers sign. Administrative outputs take one.</w:t>
      </w:r>
    </w:p>
    <w:p>
      <w:pPr>
        <w:spacing w:after="120"/>
      </w:pPr>
      <w:r>
        <w:rPr>
          <w:b/>
          <w:color w:val="1E3C36"/>
          <w:sz w:val="21"/>
        </w:rPr>
        <w:t>Payments — settled.</w:t>
      </w:r>
      <w:r>
        <w:rPr>
          <w:color w:val="2E3B38"/>
          <w:sz w:val="21"/>
        </w:rPr>
        <w:t xml:space="preserve"> Lazy Dog does </w:t>
      </w:r>
      <w:r>
        <w:rPr>
          <w:b/>
          <w:color w:val="1E3C36"/>
          <w:sz w:val="21"/>
        </w:rPr>
        <w:t>not</w:t>
      </w:r>
      <w:r>
        <w:rPr>
          <w:color w:val="2E3B38"/>
          <w:sz w:val="21"/>
        </w:rPr>
        <w:t xml:space="preserve"> auto-draft. Each month a statement goes out and the borrower sends payment by ACH or through the portal. The closing document formerly called "ACH Authorization" becomes </w:t>
      </w:r>
      <w:r>
        <w:rPr>
          <w:b/>
          <w:color w:val="1E3C36"/>
          <w:sz w:val="21"/>
        </w:rPr>
        <w:t>Payment Instructions</w:t>
      </w:r>
      <w:r>
        <w:rPr>
          <w:color w:val="2E3B38"/>
          <w:sz w:val="21"/>
        </w:rPr>
        <w:t xml:space="preserve"> and carries no authority to debit the borrower's account.</w:t>
      </w:r>
    </w:p>
    <w:p>
      <w:pPr>
        <w:spacing w:after="120"/>
      </w:pPr>
      <w:r>
        <w:rPr>
          <w:b/>
          <w:color w:val="1E3C36"/>
          <w:sz w:val="21"/>
        </w:rPr>
        <w:t>Points rolled into the loan:</w:t>
      </w:r>
      <w:r>
        <w:rPr>
          <w:color w:val="2E3B38"/>
          <w:sz w:val="21"/>
        </w:rPr>
        <w:t xml:space="preserve"> borrower may finance the origination points rather than pay at closing, as long as the loan stays under the 80% ARV cap. Rate becomes </w:t>
      </w:r>
      <w:r>
        <w:rPr>
          <w:b/>
          <w:color w:val="1E3C36"/>
          <w:sz w:val="21"/>
        </w:rPr>
        <w:t>12.25%</w:t>
      </w:r>
      <w:r>
        <w:rPr>
          <w:color w:val="2E3B38"/>
          <w:sz w:val="21"/>
        </w:rPr>
        <w:t xml:space="preserve"> instead of 12.000%. The 10% down payment is never financed.</w:t>
      </w:r>
    </w:p>
    <w:p>
      <w:pPr>
        <w:spacing w:after="120"/>
      </w:pPr>
      <w:r>
        <w:rPr>
          <w:b/>
          <w:color w:val="1E3C36"/>
          <w:sz w:val="21"/>
        </w:rPr>
        <w:t>CP rate tiers:</w:t>
      </w:r>
      <w:r>
        <w:rPr>
          <w:color w:val="2E3B38"/>
          <w:sz w:val="21"/>
        </w:rPr>
        <w:t xml:space="preserve"> 45% → 5.5% · 50% → 6.0% · 55% → 6.5% · 60% → 7.0%</w:t>
      </w:r>
    </w:p>
    <w:p>
      <w:pPr>
        <w:spacing w:after="120"/>
      </w:pPr>
      <w:r>
        <w:rPr>
          <w:b/>
          <w:color w:val="1E3C36"/>
          <w:sz w:val="21"/>
        </w:rPr>
        <w:t>Canonical example — Garland reference deal:</w:t>
      </w:r>
      <w:r>
        <w:rPr>
          <w:color w:val="2E3B38"/>
          <w:sz w:val="21"/>
        </w:rPr>
        <w:t xml:space="preserve"> ARV $320,000 · Loan $256,000 · CP at 55% = $140,800 · Lazy Dog $115,200 ($39,200 at closing + $76,000 holdback) · Rehab estimate $50,000 · Borrower down $20,000</w:t>
      </w:r>
    </w:p>
    <w:p>
      <w:pPr>
        <w:spacing w:after="120"/>
      </w:pPr>
      <w:r>
        <w:rPr>
          <w:b/>
          <w:color w:val="1E3C36"/>
          <w:sz w:val="21"/>
        </w:rPr>
        <w:t>Timing of the CP position is flexible; the co-investment is not.</w:t>
      </w:r>
      <w:r>
        <w:rPr>
          <w:color w:val="2E3B38"/>
          <w:sz w:val="21"/>
        </w:rPr>
        <w:t xml:space="preserve"> A partner may come in at closing (05B) or after closing by assignment (05C). Either way Lazy Dog retains a funded position for the life of the loan. That co-investment is a genuine selling point and appears in the Deal Summary.</w:t>
      </w:r>
    </w:p>
    <w:p>
      <w:pPr>
        <w:spacing w:after="120"/>
      </w:pPr>
      <w:r>
        <w:rPr>
          <w:b/>
          <w:color w:val="1E3C36"/>
          <w:sz w:val="21"/>
        </w:rPr>
        <w:t>Payment priority:</w:t>
      </w:r>
      <w:r>
        <w:rPr>
          <w:color w:val="2E3B38"/>
          <w:sz w:val="21"/>
        </w:rPr>
        <w:t xml:space="preserve"> paid first (Capital Partner) · paid next (Lazy Dog return) · paid last (Lazy Dog capital).</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INTEREST ACCRUAL CONVENTION — SETTLED</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r>
          </w:p>
        </w:tc>
        <w:tc>
          <w:tcPr>
            <w:tcW w:type="dxa" w:w="3264"/>
            <w:shd w:val="clear" w:fill="1E3C36"/>
          </w:tcPr>
          <w:p>
            <w:pPr>
              <w:spacing w:after="20"/>
            </w:pPr>
            <w:r>
              <w:rPr>
                <w:rFonts w:ascii="Century Gothic" w:hAnsi="Century Gothic"/>
                <w:b/>
                <w:color w:val="F0EADE"/>
                <w:sz w:val="15"/>
              </w:rPr>
              <w:t>BORROWER</w:t>
            </w:r>
          </w:p>
        </w:tc>
        <w:tc>
          <w:tcPr>
            <w:tcW w:type="dxa" w:w="3264"/>
            <w:shd w:val="clear" w:fill="1E3C36"/>
          </w:tcPr>
          <w:p>
            <w:pPr>
              <w:spacing w:after="20"/>
            </w:pPr>
            <w:r>
              <w:rPr>
                <w:rFonts w:ascii="Century Gothic" w:hAnsi="Century Gothic"/>
                <w:b/>
                <w:color w:val="F0EADE"/>
                <w:sz w:val="15"/>
              </w:rPr>
              <w:t>CAPITAL PARTNER</w:t>
            </w:r>
          </w:p>
        </w:tc>
      </w:tr>
      <w:tr>
        <w:tc>
          <w:tcPr>
            <w:tcW w:type="dxa" w:w="3264"/>
            <w:shd w:val="clear" w:fill="F7F6F3"/>
          </w:tcPr>
          <w:p>
            <w:pPr>
              <w:spacing w:after="20"/>
            </w:pPr>
            <w:r>
              <w:rPr>
                <w:color w:val="2E3B38"/>
                <w:sz w:val="18"/>
              </w:rPr>
              <w:t>Day-count basis</w:t>
            </w:r>
          </w:p>
        </w:tc>
        <w:tc>
          <w:tcPr>
            <w:tcW w:type="dxa" w:w="3264"/>
            <w:shd w:val="clear" w:fill="F7F6F3"/>
          </w:tcPr>
          <w:p>
            <w:pPr>
              <w:spacing w:after="20"/>
            </w:pPr>
            <w:r>
              <w:rPr>
                <w:b/>
                <w:color w:val="1E3C36"/>
                <w:sz w:val="18"/>
              </w:rPr>
              <w:t>actual/360</w:t>
            </w:r>
          </w:p>
        </w:tc>
        <w:tc>
          <w:tcPr>
            <w:tcW w:type="dxa" w:w="3264"/>
            <w:shd w:val="clear" w:fill="F7F6F3"/>
          </w:tcPr>
          <w:p>
            <w:pPr>
              <w:spacing w:after="20"/>
            </w:pPr>
            <w:r>
              <w:rPr>
                <w:b/>
                <w:color w:val="1E3C36"/>
                <w:sz w:val="18"/>
              </w:rPr>
              <w:t>actual/365</w:t>
            </w:r>
          </w:p>
        </w:tc>
      </w:tr>
      <w:tr>
        <w:tc>
          <w:tcPr>
            <w:tcW w:type="dxa" w:w="3264"/>
          </w:tcPr>
          <w:p>
            <w:pPr>
              <w:spacing w:after="20"/>
            </w:pPr>
            <w:r>
              <w:rPr>
                <w:color w:val="2E3B38"/>
                <w:sz w:val="18"/>
              </w:rPr>
              <w:t>Daily rate</w:t>
            </w:r>
          </w:p>
        </w:tc>
        <w:tc>
          <w:tcPr>
            <w:tcW w:type="dxa" w:w="3264"/>
          </w:tcPr>
          <w:p>
            <w:pPr>
              <w:spacing w:after="20"/>
            </w:pPr>
            <w:r>
              <w:rPr>
                <w:color w:val="2E3B38"/>
                <w:sz w:val="18"/>
              </w:rPr>
              <w:t>principal × rate ÷ 360</w:t>
            </w:r>
          </w:p>
        </w:tc>
        <w:tc>
          <w:tcPr>
            <w:tcW w:type="dxa" w:w="3264"/>
          </w:tcPr>
          <w:p>
            <w:pPr>
              <w:spacing w:after="20"/>
            </w:pPr>
            <w:r>
              <w:rPr>
                <w:color w:val="2E3B38"/>
                <w:sz w:val="18"/>
              </w:rPr>
              <w:t>principal × rate ÷ 365</w:t>
            </w:r>
          </w:p>
        </w:tc>
      </w:tr>
      <w:tr>
        <w:tc>
          <w:tcPr>
            <w:tcW w:type="dxa" w:w="3264"/>
            <w:shd w:val="clear" w:fill="F7F6F3"/>
          </w:tcPr>
          <w:p>
            <w:pPr>
              <w:spacing w:after="20"/>
            </w:pPr>
            <w:r>
              <w:rPr>
                <w:color w:val="2E3B38"/>
                <w:sz w:val="18"/>
              </w:rPr>
              <w:t>Accrues on</w:t>
            </w:r>
          </w:p>
        </w:tc>
        <w:tc>
          <w:tcPr>
            <w:tcW w:type="dxa" w:w="3264"/>
            <w:shd w:val="clear" w:fill="F7F6F3"/>
          </w:tcPr>
          <w:p>
            <w:pPr>
              <w:spacing w:after="20"/>
            </w:pPr>
            <w:r>
              <w:rPr>
                <w:color w:val="2E3B38"/>
                <w:sz w:val="18"/>
              </w:rPr>
              <w:t>funds actually advanced</w:t>
            </w:r>
          </w:p>
        </w:tc>
        <w:tc>
          <w:tcPr>
            <w:tcW w:type="dxa" w:w="3264"/>
            <w:shd w:val="clear" w:fill="F7F6F3"/>
          </w:tcPr>
          <w:p>
            <w:pPr>
              <w:spacing w:after="20"/>
            </w:pPr>
            <w:r>
              <w:rPr>
                <w:color w:val="2E3B38"/>
                <w:sz w:val="18"/>
              </w:rPr>
              <w:t>amount funded</w:t>
            </w:r>
          </w:p>
        </w:tc>
      </w:tr>
      <w:tr>
        <w:tc>
          <w:tcPr>
            <w:tcW w:type="dxa" w:w="3264"/>
          </w:tcPr>
          <w:p>
            <w:pPr>
              <w:spacing w:after="20"/>
            </w:pPr>
            <w:r>
              <w:rPr>
                <w:color w:val="2E3B38"/>
                <w:sz w:val="18"/>
              </w:rPr>
              <w:t>Funding day</w:t>
            </w:r>
          </w:p>
        </w:tc>
        <w:tc>
          <w:tcPr>
            <w:tcW w:type="dxa" w:w="3264"/>
          </w:tcPr>
          <w:p>
            <w:pPr>
              <w:spacing w:after="20"/>
            </w:pPr>
            <w:r>
              <w:rPr>
                <w:b/>
                <w:color w:val="1E3C36"/>
                <w:sz w:val="18"/>
              </w:rPr>
              <w:t>counts</w:t>
            </w:r>
          </w:p>
        </w:tc>
        <w:tc>
          <w:tcPr>
            <w:tcW w:type="dxa" w:w="3264"/>
          </w:tcPr>
          <w:p>
            <w:pPr>
              <w:spacing w:after="20"/>
            </w:pPr>
            <w:r>
              <w:rPr>
                <w:color w:val="2E3B38"/>
                <w:sz w:val="18"/>
              </w:rPr>
              <w:t>counts</w:t>
            </w:r>
          </w:p>
        </w:tc>
      </w:tr>
      <w:tr>
        <w:tc>
          <w:tcPr>
            <w:tcW w:type="dxa" w:w="3264"/>
            <w:shd w:val="clear" w:fill="F7F6F3"/>
          </w:tcPr>
          <w:p>
            <w:pPr>
              <w:spacing w:after="20"/>
            </w:pPr>
            <w:r>
              <w:rPr>
                <w:color w:val="2E3B38"/>
                <w:sz w:val="18"/>
              </w:rPr>
              <w:t>Payoff day</w:t>
            </w:r>
          </w:p>
        </w:tc>
        <w:tc>
          <w:tcPr>
            <w:tcW w:type="dxa" w:w="3264"/>
            <w:shd w:val="clear" w:fill="F7F6F3"/>
          </w:tcPr>
          <w:p>
            <w:pPr>
              <w:spacing w:after="20"/>
            </w:pPr>
            <w:r>
              <w:rPr>
                <w:b/>
                <w:color w:val="1E3C36"/>
                <w:sz w:val="18"/>
              </w:rPr>
              <w:t>does not count</w:t>
            </w:r>
          </w:p>
        </w:tc>
        <w:tc>
          <w:tcPr>
            <w:tcW w:type="dxa" w:w="3264"/>
            <w:shd w:val="clear" w:fill="F7F6F3"/>
          </w:tcPr>
          <w:p>
            <w:pPr>
              <w:spacing w:after="20"/>
            </w:pPr>
            <w:r>
              <w:rPr>
                <w:color w:val="2E3B38"/>
                <w:sz w:val="18"/>
              </w:rPr>
              <w:t>does not count</w:t>
            </w:r>
          </w:p>
        </w:tc>
      </w:tr>
      <w:tr>
        <w:tc>
          <w:tcPr>
            <w:tcW w:type="dxa" w:w="3264"/>
          </w:tcPr>
          <w:p>
            <w:pPr>
              <w:spacing w:after="20"/>
            </w:pPr>
            <w:r>
              <w:rPr>
                <w:color w:val="2E3B38"/>
                <w:sz w:val="18"/>
              </w:rPr>
              <w:t>Effective annual rate</w:t>
            </w:r>
          </w:p>
        </w:tc>
        <w:tc>
          <w:tcPr>
            <w:tcW w:type="dxa" w:w="3264"/>
          </w:tcPr>
          <w:p>
            <w:pPr>
              <w:spacing w:after="20"/>
            </w:pPr>
            <w:r>
              <w:rPr>
                <w:color w:val="2E3B38"/>
                <w:sz w:val="18"/>
              </w:rPr>
              <w:t>12.167% at a 12.000% nominal rate</w:t>
            </w:r>
          </w:p>
        </w:tc>
        <w:tc>
          <w:tcPr>
            <w:tcW w:type="dxa" w:w="3264"/>
          </w:tcPr>
          <w:p>
            <w:pPr>
              <w:spacing w:after="20"/>
            </w:pPr>
            <w:r>
              <w:rPr>
                <w:color w:val="2E3B38"/>
                <w:sz w:val="18"/>
              </w:rPr>
              <w:t>equals nominal rate</w:t>
            </w:r>
          </w:p>
        </w:tc>
      </w:tr>
    </w:tbl>
    <w:p>
      <w:pPr>
        <w:spacing w:after="80"/>
      </w:pPr>
    </w:p>
    <w:p>
      <w:pPr>
        <w:spacing w:after="120"/>
      </w:pPr>
      <w:r>
        <w:rPr>
          <w:i/>
          <w:color w:val="6B7A75"/>
          <w:sz w:val="21"/>
        </w:rPr>
        <w:t>The borrower's 30-day month works out to exactly 1% of the balance; 31-day months collect more, 28-day months less. The 360/365 spread between the two sides is retained by Lazy Dog and is intentional.</w:t>
      </w:r>
    </w:p>
    <w:p>
      <w:pPr>
        <w:spacing w:after="120"/>
      </w:pPr>
      <w:r>
        <w:rPr>
          <w:b/>
          <w:color w:val="1E3C36"/>
          <w:sz w:val="21"/>
        </w:rPr>
        <w:t>Language to carry into documents:</w:t>
      </w:r>
      <w:r>
        <w:rPr>
          <w:color w:val="2E3B38"/>
          <w:sz w:val="21"/>
        </w:rPr>
        <w:t xml:space="preserve"> "12.000% per annum, calculated on the basis of a 360-day year and charged for the actual number of days elapsed." Capital partner documents use 365 in place of 360.</w:t>
      </w:r>
    </w:p>
    <w:p>
      <w:pPr>
        <w:spacing w:after="120"/>
      </w:pPr>
      <w:r>
        <w:rPr>
          <w:b/>
          <w:color w:val="1E3C36"/>
          <w:sz w:val="21"/>
        </w:rPr>
        <w:t>Applied to:</w:t>
      </w:r>
      <w:r>
        <w:rPr>
          <w:color w:val="2E3B38"/>
          <w:sz w:val="21"/>
        </w:rPr>
        <w:t xml:space="preserve"> Promissory Note · Loan Proposal · Conditional Approval · Capital Partner Agreement · Loan Statement · Capital Partner Statement · Borrower FAQ.  </w:t>
      </w:r>
      <w:r>
        <w:rPr>
          <w:b/>
          <w:color w:val="1E3C36"/>
          <w:sz w:val="21"/>
        </w:rPr>
        <w:t>Still needs it:</w:t>
      </w:r>
      <w:r>
        <w:rPr>
          <w:color w:val="2E3B38"/>
          <w:sz w:val="21"/>
        </w:rPr>
        <w:t xml:space="preserve"> Borrower Guide · Program Overview.</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DRAW MODEL — SETTLED</w:t>
      </w:r>
    </w:p>
    <w:p>
      <w:pPr>
        <w:spacing w:after="120"/>
      </w:pPr>
      <w:r>
        <w:rPr>
          <w:b/>
          <w:color w:val="1E3C36"/>
          <w:sz w:val="21"/>
        </w:rPr>
        <w:t>Reimbursement.</w:t>
      </w:r>
      <w:r>
        <w:rPr>
          <w:color w:val="2E3B38"/>
          <w:sz w:val="21"/>
        </w:rPr>
        <w:t xml:space="preserve"> Borrower pays for the work first, then Lazy Dog reimburses. One exception: an </w:t>
      </w:r>
      <w:r>
        <w:rPr>
          <w:b/>
          <w:color w:val="1E3C36"/>
          <w:sz w:val="21"/>
        </w:rPr>
        <w:t>initial draw of up to $5,000</w:t>
      </w:r>
      <w:r>
        <w:rPr>
          <w:color w:val="2E3B38"/>
          <w:sz w:val="21"/>
        </w:rPr>
        <w:t xml:space="preserve"> may be released before work begins, case by case, at Lazy Dog's discretion.</w:t>
      </w:r>
    </w:p>
    <w:tbl>
      <w:tblPr>
        <w:tblStyle w:val="TableGrid"/>
        <w:tblW w:type="auto" w:w="0"/>
        <w:jc w:val="left"/>
        <w:tblLook w:firstColumn="1" w:firstRow="1" w:lastColumn="0" w:lastRow="0" w:noHBand="0" w:noVBand="1" w:val="04A0"/>
      </w:tblPr>
      <w:tblGrid>
        <w:gridCol w:w="4896"/>
        <w:gridCol w:w="4896"/>
      </w:tblGrid>
      <w:tr>
        <w:tc>
          <w:tcPr>
            <w:tcW w:type="dxa" w:w="4896"/>
            <w:shd w:val="clear" w:fill="F7F6F3"/>
          </w:tcPr>
          <w:p>
            <w:pPr>
              <w:spacing w:after="20"/>
            </w:pPr>
            <w:r>
              <w:rPr>
                <w:color w:val="2E3B38"/>
                <w:sz w:val="18"/>
              </w:rPr>
              <w:t>Request basis</w:t>
            </w:r>
          </w:p>
        </w:tc>
        <w:tc>
          <w:tcPr>
            <w:tcW w:type="dxa" w:w="4896"/>
            <w:shd w:val="clear" w:fill="F7F6F3"/>
          </w:tcPr>
          <w:p>
            <w:pPr>
              <w:spacing w:after="20"/>
            </w:pPr>
            <w:r>
              <w:rPr>
                <w:b/>
                <w:color w:val="1E3C36"/>
                <w:sz w:val="18"/>
              </w:rPr>
              <w:t>Ad hoc</w:t>
            </w:r>
            <w:r>
              <w:rPr>
                <w:color w:val="2E3B38"/>
                <w:sz w:val="18"/>
              </w:rPr>
              <w:t xml:space="preserve"> — borrower requests against completed line items. No fixed milestone schedule.</w:t>
            </w:r>
          </w:p>
        </w:tc>
      </w:tr>
      <w:tr>
        <w:tc>
          <w:tcPr>
            <w:tcW w:type="dxa" w:w="4896"/>
          </w:tcPr>
          <w:p>
            <w:pPr>
              <w:spacing w:after="20"/>
            </w:pPr>
            <w:r>
              <w:rPr>
                <w:color w:val="2E3B38"/>
                <w:sz w:val="18"/>
              </w:rPr>
              <w:t>Minimum draw</w:t>
            </w:r>
          </w:p>
        </w:tc>
        <w:tc>
          <w:tcPr>
            <w:tcW w:type="dxa" w:w="4896"/>
          </w:tcPr>
          <w:p>
            <w:pPr>
              <w:spacing w:after="20"/>
            </w:pPr>
            <w:r>
              <w:rPr>
                <w:b/>
                <w:color w:val="1E3C36"/>
                <w:sz w:val="18"/>
              </w:rPr>
              <w:t>$5,000</w:t>
            </w:r>
          </w:p>
        </w:tc>
      </w:tr>
      <w:tr>
        <w:tc>
          <w:tcPr>
            <w:tcW w:type="dxa" w:w="4896"/>
            <w:shd w:val="clear" w:fill="F7F6F3"/>
          </w:tcPr>
          <w:p>
            <w:pPr>
              <w:spacing w:after="20"/>
            </w:pPr>
            <w:r>
              <w:rPr>
                <w:color w:val="2E3B38"/>
                <w:sz w:val="18"/>
              </w:rPr>
              <w:t>Draw fee</w:t>
            </w:r>
          </w:p>
        </w:tc>
        <w:tc>
          <w:tcPr>
            <w:tcW w:type="dxa" w:w="4896"/>
            <w:shd w:val="clear" w:fill="F7F6F3"/>
          </w:tcPr>
          <w:p>
            <w:pPr>
              <w:spacing w:after="20"/>
            </w:pPr>
            <w:r>
              <w:rPr>
                <w:color w:val="2E3B38"/>
                <w:sz w:val="18"/>
              </w:rPr>
              <w:t>$199 per draw</w:t>
            </w:r>
          </w:p>
        </w:tc>
      </w:tr>
      <w:tr>
        <w:tc>
          <w:tcPr>
            <w:tcW w:type="dxa" w:w="4896"/>
          </w:tcPr>
          <w:p>
            <w:pPr>
              <w:spacing w:after="20"/>
            </w:pPr>
            <w:r>
              <w:rPr>
                <w:color w:val="2E3B38"/>
                <w:sz w:val="18"/>
              </w:rPr>
              <w:t>Submission</w:t>
            </w:r>
          </w:p>
        </w:tc>
        <w:tc>
          <w:tcPr>
            <w:tcW w:type="dxa" w:w="4896"/>
          </w:tcPr>
          <w:p>
            <w:pPr>
              <w:spacing w:after="20"/>
            </w:pPr>
            <w:r>
              <w:rPr>
                <w:b/>
                <w:color w:val="1E3C36"/>
                <w:sz w:val="18"/>
              </w:rPr>
              <w:t>Online form</w:t>
            </w:r>
            <w:r>
              <w:rPr>
                <w:color w:val="2E3B38"/>
                <w:sz w:val="18"/>
              </w:rPr>
              <w:t xml:space="preserve"> — </w:t>
            </w:r>
            <w:r>
              <w:rPr>
                <w:rFonts w:ascii="Consolas" w:hAnsi="Consolas"/>
                <w:color w:val="2E3B38"/>
                <w:sz w:val="18"/>
              </w:rPr>
              <w:t>lazydogcapital.com/resources/draw-request</w:t>
            </w:r>
            <w:r>
              <w:rPr>
                <w:color w:val="2E3B38"/>
                <w:sz w:val="18"/>
              </w:rPr>
              <w:t>. The fillable PDF is retired.</w:t>
            </w:r>
          </w:p>
        </w:tc>
      </w:tr>
      <w:tr>
        <w:tc>
          <w:tcPr>
            <w:tcW w:type="dxa" w:w="4896"/>
            <w:shd w:val="clear" w:fill="F7F6F3"/>
          </w:tcPr>
          <w:p>
            <w:pPr>
              <w:spacing w:after="20"/>
            </w:pPr>
            <w:r>
              <w:rPr>
                <w:color w:val="2E3B38"/>
                <w:sz w:val="18"/>
              </w:rPr>
              <w:t>Proof of payment</w:t>
            </w:r>
          </w:p>
        </w:tc>
        <w:tc>
          <w:tcPr>
            <w:tcW w:type="dxa" w:w="4896"/>
            <w:shd w:val="clear" w:fill="F7F6F3"/>
          </w:tcPr>
          <w:p>
            <w:pPr>
              <w:spacing w:after="20"/>
            </w:pPr>
            <w:r>
              <w:rPr>
                <w:b/>
                <w:color w:val="1E3C36"/>
                <w:sz w:val="18"/>
              </w:rPr>
              <w:t>Bank or credit card statement showing the money left the borrower's account.</w:t>
            </w:r>
            <w:r>
              <w:rPr>
                <w:color w:val="2E3B38"/>
                <w:sz w:val="18"/>
              </w:rPr>
              <w:t xml:space="preserve"> Receipts and invoices alone are not accepted. Cash withdrawals are acceptable so long as the withdrawal is visible on the statement; Lazy Dog judges whether the money went into the property.</w:t>
            </w:r>
          </w:p>
        </w:tc>
      </w:tr>
      <w:tr>
        <w:tc>
          <w:tcPr>
            <w:tcW w:type="dxa" w:w="4896"/>
          </w:tcPr>
          <w:p>
            <w:pPr>
              <w:spacing w:after="20"/>
            </w:pPr>
            <w:r>
              <w:rPr>
                <w:color w:val="2E3B38"/>
                <w:sz w:val="18"/>
              </w:rPr>
              <w:t>Inspection</w:t>
            </w:r>
          </w:p>
        </w:tc>
        <w:tc>
          <w:tcPr>
            <w:tcW w:type="dxa" w:w="4896"/>
          </w:tcPr>
          <w:p>
            <w:pPr>
              <w:spacing w:after="20"/>
            </w:pPr>
            <w:r>
              <w:rPr>
                <w:b/>
                <w:color w:val="1E3C36"/>
                <w:sz w:val="18"/>
              </w:rPr>
              <w:t>Always in person</w:t>
            </w:r>
            <w:r>
              <w:rPr>
                <w:color w:val="2E3B38"/>
                <w:sz w:val="18"/>
              </w:rPr>
              <w:t>, by Lewis or Steve, before any release</w:t>
            </w:r>
          </w:p>
        </w:tc>
      </w:tr>
      <w:tr>
        <w:tc>
          <w:tcPr>
            <w:tcW w:type="dxa" w:w="4896"/>
            <w:shd w:val="clear" w:fill="F7F6F3"/>
          </w:tcPr>
          <w:p>
            <w:pPr>
              <w:spacing w:after="20"/>
            </w:pPr>
            <w:r>
              <w:rPr>
                <w:color w:val="2E3B38"/>
                <w:sz w:val="18"/>
              </w:rPr>
              <w:t>Account verification</w:t>
            </w:r>
          </w:p>
        </w:tc>
        <w:tc>
          <w:tcPr>
            <w:tcW w:type="dxa" w:w="4896"/>
            <w:shd w:val="clear" w:fill="F7F6F3"/>
          </w:tcPr>
          <w:p>
            <w:pPr>
              <w:spacing w:after="20"/>
            </w:pPr>
            <w:r>
              <w:rPr>
                <w:b/>
                <w:color w:val="1E3C36"/>
                <w:sz w:val="18"/>
              </w:rPr>
              <w:t>Call the borrower by phone to verify their bank account before the first draw</w:t>
            </w:r>
            <w:r>
              <w:rPr>
                <w:color w:val="2E3B38"/>
                <w:sz w:val="18"/>
              </w:rPr>
              <w:t>, and again any time account details change</w:t>
            </w:r>
          </w:p>
        </w:tc>
      </w:tr>
      <w:tr>
        <w:tc>
          <w:tcPr>
            <w:tcW w:type="dxa" w:w="4896"/>
          </w:tcPr>
          <w:p>
            <w:pPr>
              <w:spacing w:after="20"/>
            </w:pPr>
            <w:r>
              <w:rPr>
                <w:color w:val="2E3B38"/>
                <w:sz w:val="18"/>
              </w:rPr>
              <w:t>Funding timeline</w:t>
            </w:r>
          </w:p>
        </w:tc>
        <w:tc>
          <w:tcPr>
            <w:tcW w:type="dxa" w:w="4896"/>
          </w:tcPr>
          <w:p>
            <w:pPr>
              <w:spacing w:after="20"/>
            </w:pPr>
            <w:r>
              <w:rPr>
                <w:color w:val="2E3B38"/>
                <w:sz w:val="18"/>
              </w:rPr>
              <w:t>No stated commitment</w:t>
            </w:r>
          </w:p>
        </w:tc>
      </w:tr>
      <w:tr>
        <w:tc>
          <w:tcPr>
            <w:tcW w:type="dxa" w:w="4896"/>
            <w:shd w:val="clear" w:fill="F7F6F3"/>
          </w:tcPr>
          <w:p>
            <w:pPr>
              <w:spacing w:after="20"/>
            </w:pPr>
            <w:r>
              <w:rPr>
                <w:color w:val="2E3B38"/>
                <w:sz w:val="18"/>
              </w:rPr>
              <w:t>Lien waivers</w:t>
            </w:r>
          </w:p>
        </w:tc>
        <w:tc>
          <w:tcPr>
            <w:tcW w:type="dxa" w:w="4896"/>
            <w:shd w:val="clear" w:fill="F7F6F3"/>
          </w:tcPr>
          <w:p>
            <w:pPr>
              <w:spacing w:after="20"/>
            </w:pPr>
            <w:r>
              <w:rPr>
                <w:b/>
                <w:color w:val="1E3C36"/>
                <w:sz w:val="18"/>
              </w:rPr>
              <w:t>Not required</w:t>
            </w:r>
          </w:p>
        </w:tc>
      </w:tr>
      <w:tr>
        <w:tc>
          <w:tcPr>
            <w:tcW w:type="dxa" w:w="4896"/>
          </w:tcPr>
          <w:p>
            <w:pPr>
              <w:spacing w:after="20"/>
            </w:pPr>
            <w:r>
              <w:rPr>
                <w:color w:val="2E3B38"/>
                <w:sz w:val="18"/>
              </w:rPr>
              <w:t>Final draw</w:t>
            </w:r>
          </w:p>
        </w:tc>
        <w:tc>
          <w:tcPr>
            <w:tcW w:type="dxa" w:w="4896"/>
          </w:tcPr>
          <w:p>
            <w:pPr>
              <w:spacing w:after="20"/>
            </w:pPr>
            <w:r>
              <w:rPr>
                <w:color w:val="2E3B38"/>
                <w:sz w:val="18"/>
              </w:rPr>
              <w:t xml:space="preserve">Released only </w:t>
            </w:r>
            <w:r>
              <w:rPr>
                <w:b/>
                <w:color w:val="1E3C36"/>
                <w:sz w:val="18"/>
              </w:rPr>
              <w:t>after the project is complete</w:t>
            </w:r>
            <w:r>
              <w:rPr>
                <w:color w:val="2E3B38"/>
                <w:sz w:val="18"/>
              </w:rPr>
              <w:t xml:space="preserve"> and passes inspection</w:t>
            </w:r>
          </w:p>
        </w:tc>
      </w:tr>
      <w:tr>
        <w:tc>
          <w:tcPr>
            <w:tcW w:type="dxa" w:w="4896"/>
            <w:shd w:val="clear" w:fill="F7F6F3"/>
          </w:tcPr>
          <w:p>
            <w:pPr>
              <w:spacing w:after="20"/>
            </w:pPr>
            <w:r>
              <w:rPr>
                <w:color w:val="2E3B38"/>
                <w:sz w:val="18"/>
              </w:rPr>
              <w:t>Unused holdback</w:t>
            </w:r>
          </w:p>
        </w:tc>
        <w:tc>
          <w:tcPr>
            <w:tcW w:type="dxa" w:w="4896"/>
            <w:shd w:val="clear" w:fill="F7F6F3"/>
          </w:tcPr>
          <w:p>
            <w:pPr>
              <w:spacing w:after="20"/>
            </w:pPr>
            <w:r>
              <w:rPr>
                <w:b/>
                <w:color w:val="1E3C36"/>
                <w:sz w:val="18"/>
              </w:rPr>
              <w:t>Borrower may draw the remainder</w:t>
            </w:r>
            <w:r>
              <w:rPr>
                <w:color w:val="2E3B38"/>
                <w:sz w:val="18"/>
              </w:rPr>
              <w:t xml:space="preserve"> after completion. The 80% ARV lending limit leaves a 20% equity cushion.</w:t>
            </w:r>
          </w:p>
        </w:tc>
      </w:tr>
    </w:tbl>
    <w:p>
      <w:pPr>
        <w:spacing w:after="80"/>
      </w:pPr>
    </w:p>
    <w:p>
      <w:pPr>
        <w:spacing w:after="120"/>
      </w:pPr>
      <w:r>
        <w:rPr>
          <w:b/>
          <w:color w:val="1E3C36"/>
          <w:sz w:val="21"/>
        </w:rPr>
        <w:t>Known exposure — no lien waivers.</w:t>
      </w:r>
      <w:r>
        <w:rPr>
          <w:color w:val="2E3B38"/>
          <w:sz w:val="21"/>
        </w:rPr>
        <w:t xml:space="preserve"> A bank statement proves the borrower paid their contractor. It does not prove the contractor paid their subs, and unpaid subs are who file liens. Texas mechanic's liens relate back to inception of work, so a late-filed lien can sit ahead of the Deed of Trust. Accepted deliberately; revisit if a lien is ever filed on a deal.</w:t>
      </w:r>
    </w:p>
    <w:p>
      <w:pPr>
        <w:spacing w:after="120"/>
      </w:pPr>
      <w:r>
        <w:rPr>
          <w:b/>
          <w:color w:val="1E3C36"/>
          <w:sz w:val="21"/>
        </w:rPr>
        <w:t>All draw documents built:</w:t>
      </w:r>
      <w:r>
        <w:rPr>
          <w:color w:val="2E3B38"/>
          <w:sz w:val="21"/>
        </w:rPr>
        <w:t xml:space="preserve"> Welcome email · Draw Inspection Report · online draw form.  Draw provisions in the Note and Deed of Trust remain as originally drafted — review with the attorney if the reimbursement model needs papering more explicitly.</w:t>
      </w:r>
    </w:p>
    <w:p>
      <w:pPr>
        <w:spacing w:after="120"/>
        <w:pBdr>
          <w:bottom w:val="single" w:sz="4" w:space="3" w:color="DFD8C8"/>
        </w:pBdr>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PENDING REGENERATION</w:t>
      </w:r>
    </w:p>
    <w:p>
      <w:pPr>
        <w:spacing w:after="120"/>
      </w:pPr>
      <w:r>
        <w:rPr>
          <w:b/>
          <w:color w:val="1E3C36"/>
          <w:sz w:val="21"/>
        </w:rPr>
        <w:t>Done.</w:t>
      </w:r>
      <w:r>
        <w:rPr>
          <w:color w:val="2E3B38"/>
          <w:sz w:val="21"/>
        </w:rPr>
        <w:t xml:space="preserve"> Loan Proposal (PDF + docx) · Promissory Note · Payment Instructions </w:t>
      </w:r>
      <w:r>
        <w:rPr>
          <w:i/>
          <w:color w:val="6B7A75"/>
          <w:sz w:val="21"/>
        </w:rPr>
        <w:t>(was ACH Authorization)</w:t>
      </w:r>
      <w:r>
        <w:rPr>
          <w:color w:val="2E3B38"/>
          <w:sz w:val="21"/>
        </w:rPr>
        <w:t xml:space="preserve"> · Personal Guarantee · Notice of Default · Capital Partner Agreement · Collateral Assignment · Closing Worksheet · Loan Application · Internal Processing Checklist · Loan Statement · Capital Partner Statement · Borrower FAQ.</w:t>
      </w:r>
    </w:p>
    <w:p>
      <w:pPr>
        <w:spacing w:after="120"/>
      </w:pPr>
      <w:r>
        <w:rPr>
          <w:b/>
          <w:color w:val="1E3C36"/>
          <w:sz w:val="21"/>
        </w:rPr>
        <w:t>Still outstanding</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t>DOCUMENT</w:t>
            </w:r>
          </w:p>
        </w:tc>
        <w:tc>
          <w:tcPr>
            <w:tcW w:type="dxa" w:w="3264"/>
            <w:shd w:val="clear" w:fill="1E3C36"/>
          </w:tcPr>
          <w:p>
            <w:pPr>
              <w:spacing w:after="20"/>
            </w:pPr>
            <w:r>
              <w:rPr>
                <w:rFonts w:ascii="Century Gothic" w:hAnsi="Century Gothic"/>
                <w:b/>
                <w:color w:val="F0EADE"/>
                <w:sz w:val="15"/>
              </w:rPr>
              <w:t>CHANGES</w:t>
            </w:r>
          </w:p>
        </w:tc>
        <w:tc>
          <w:tcPr>
            <w:tcW w:type="dxa" w:w="3264"/>
            <w:shd w:val="clear" w:fill="1E3C36"/>
          </w:tcPr>
          <w:p>
            <w:pPr>
              <w:spacing w:after="20"/>
            </w:pPr>
            <w:r>
              <w:rPr>
                <w:rFonts w:ascii="Century Gothic" w:hAnsi="Century Gothic"/>
                <w:b/>
                <w:color w:val="F0EADE"/>
                <w:sz w:val="15"/>
              </w:rPr>
              <w:t>BLOCKER</w:t>
            </w:r>
          </w:p>
        </w:tc>
      </w:tr>
      <w:tr>
        <w:tc>
          <w:tcPr>
            <w:tcW w:type="dxa" w:w="3264"/>
            <w:shd w:val="clear" w:fill="F7F6F3"/>
          </w:tcPr>
          <w:p>
            <w:pPr>
              <w:spacing w:after="20"/>
            </w:pPr>
            <w:r>
              <w:rPr>
                <w:color w:val="2E3B38"/>
                <w:sz w:val="18"/>
              </w:rPr>
              <w:t>Deed of Trust</w:t>
            </w:r>
          </w:p>
        </w:tc>
        <w:tc>
          <w:tcPr>
            <w:tcW w:type="dxa" w:w="3264"/>
            <w:shd w:val="clear" w:fill="F7F6F3"/>
          </w:tcPr>
          <w:p>
            <w:pPr>
              <w:spacing w:after="20"/>
            </w:pPr>
            <w:r>
              <w:rPr>
                <w:color w:val="2E3B38"/>
                <w:sz w:val="18"/>
              </w:rPr>
              <w:t>Chapter 53 notice-forwarding covenant</w:t>
            </w:r>
          </w:p>
        </w:tc>
        <w:tc>
          <w:tcPr>
            <w:tcW w:type="dxa" w:w="3264"/>
            <w:shd w:val="clear" w:fill="F7F6F3"/>
          </w:tcPr>
          <w:p>
            <w:pPr>
              <w:spacing w:after="20"/>
            </w:pPr>
            <w:r>
              <w:rPr>
                <w:color w:val="2E3B38"/>
                <w:sz w:val="18"/>
              </w:rPr>
              <w:t>Attorney should draft the inserted paragraph</w:t>
            </w:r>
          </w:p>
        </w:tc>
      </w:tr>
      <w:tr>
        <w:tc>
          <w:tcPr>
            <w:tcW w:type="dxa" w:w="3264"/>
          </w:tcPr>
          <w:p>
            <w:pPr>
              <w:spacing w:after="20"/>
            </w:pPr>
            <w:r>
              <w:rPr>
                <w:color w:val="2E3B38"/>
                <w:sz w:val="18"/>
              </w:rPr>
              <w:t xml:space="preserve">Website — </w:t>
            </w:r>
            <w:r>
              <w:rPr>
                <w:rFonts w:ascii="Consolas" w:hAnsi="Consolas"/>
                <w:color w:val="2E3B38"/>
                <w:sz w:val="18"/>
              </w:rPr>
              <w:t>/loan</w:t>
            </w:r>
            <w:r>
              <w:rPr>
                <w:color w:val="2E3B38"/>
                <w:sz w:val="18"/>
              </w:rPr>
              <w:t xml:space="preserve">, </w:t>
            </w:r>
            <w:r>
              <w:rPr>
                <w:rFonts w:ascii="Consolas" w:hAnsi="Consolas"/>
                <w:color w:val="2E3B38"/>
                <w:sz w:val="18"/>
              </w:rPr>
              <w:t>/</w:t>
            </w:r>
            <w:r>
              <w:rPr>
                <w:color w:val="2E3B38"/>
                <w:sz w:val="18"/>
              </w:rPr>
              <w:t xml:space="preserve">, </w:t>
            </w:r>
            <w:r>
              <w:rPr>
                <w:rFonts w:ascii="Consolas" w:hAnsi="Consolas"/>
                <w:color w:val="2E3B38"/>
                <w:sz w:val="18"/>
              </w:rPr>
              <w:t>/faq</w:t>
            </w:r>
          </w:p>
        </w:tc>
        <w:tc>
          <w:tcPr>
            <w:tcW w:type="dxa" w:w="3264"/>
          </w:tcPr>
          <w:p>
            <w:pPr>
              <w:spacing w:after="20"/>
            </w:pPr>
            <w:r>
              <w:rPr>
                <w:color w:val="2E3B38"/>
                <w:sz w:val="18"/>
              </w:rPr>
              <w:t>Corrected copy written; Lewis to paste. There is no separate Borrower Guide or Program Overview document — that content lives on the site.</w:t>
            </w:r>
          </w:p>
        </w:tc>
        <w:tc>
          <w:tcPr>
            <w:tcW w:type="dxa" w:w="3264"/>
          </w:tcPr>
          <w:p>
            <w:pPr>
              <w:spacing w:after="20"/>
            </w:pPr>
            <w:r>
              <w:rPr>
                <w:color w:val="2E3B38"/>
                <w:sz w:val="18"/>
              </w:rPr>
              <w:t>Lewis</w:t>
            </w:r>
          </w:p>
        </w:tc>
      </w:tr>
      <w:tr>
        <w:tc>
          <w:tcPr>
            <w:tcW w:type="dxa" w:w="3264"/>
            <w:shd w:val="clear" w:fill="F7F6F3"/>
          </w:tcPr>
          <w:p>
            <w:pPr>
              <w:spacing w:after="20"/>
            </w:pPr>
            <w:r>
              <w:rPr>
                <w:color w:val="2E3B38"/>
                <w:sz w:val="18"/>
              </w:rPr>
              <w:t>Construction Draw Request Form</w:t>
            </w:r>
          </w:p>
        </w:tc>
        <w:tc>
          <w:tcPr>
            <w:tcW w:type="dxa" w:w="3264"/>
            <w:shd w:val="clear" w:fill="F7F6F3"/>
          </w:tcPr>
          <w:p>
            <w:pPr>
              <w:spacing w:after="20"/>
            </w:pPr>
            <w:r>
              <w:rPr>
                <w:b/>
                <w:color w:val="1E3C36"/>
                <w:sz w:val="18"/>
              </w:rPr>
              <w:t>Retired</w:t>
            </w:r>
            <w:r>
              <w:rPr>
                <w:color w:val="2E3B38"/>
                <w:sz w:val="18"/>
              </w:rPr>
              <w:t xml:space="preserve"> — replaced by the online form at </w:t>
            </w:r>
            <w:r>
              <w:rPr>
                <w:rFonts w:ascii="Consolas" w:hAnsi="Consolas"/>
                <w:color w:val="2E3B38"/>
                <w:sz w:val="18"/>
              </w:rPr>
              <w:t>lazydogcapital.com/resources/draw-request</w:t>
            </w:r>
          </w:p>
        </w:tc>
        <w:tc>
          <w:tcPr>
            <w:tcW w:type="dxa" w:w="3264"/>
            <w:shd w:val="clear" w:fill="F7F6F3"/>
          </w:tcPr>
          <w:p>
            <w:pPr>
              <w:spacing w:after="20"/>
            </w:pPr>
            <w:r>
              <w:rPr>
                <w:color w:val="2E3B38"/>
                <w:sz w:val="18"/>
              </w:rPr>
              <w:t>—</w:t>
            </w:r>
          </w:p>
        </w:tc>
      </w:tr>
      <w:tr>
        <w:tc>
          <w:tcPr>
            <w:tcW w:type="dxa" w:w="3264"/>
          </w:tcPr>
          <w:p>
            <w:pPr>
              <w:spacing w:after="20"/>
            </w:pPr>
            <w:r>
              <w:rPr>
                <w:color w:val="2E3B38"/>
                <w:sz w:val="18"/>
              </w:rPr>
              <w:t>Borrower Document Checklist</w:t>
            </w:r>
          </w:p>
        </w:tc>
        <w:tc>
          <w:tcPr>
            <w:tcW w:type="dxa" w:w="3264"/>
          </w:tcPr>
          <w:p>
            <w:pPr>
              <w:spacing w:after="20"/>
            </w:pPr>
            <w:r>
              <w:rPr>
                <w:b/>
                <w:color w:val="1E3C36"/>
                <w:sz w:val="18"/>
              </w:rPr>
              <w:t>Retired</w:t>
            </w:r>
            <w:r>
              <w:rPr>
                <w:color w:val="2E3B38"/>
                <w:sz w:val="18"/>
              </w:rPr>
              <w:t xml:space="preserve"> — the Conditional Approval owns the conditions list</w:t>
            </w:r>
          </w:p>
        </w:tc>
        <w:tc>
          <w:tcPr>
            <w:tcW w:type="dxa" w:w="3264"/>
          </w:tcPr>
          <w:p>
            <w:pPr>
              <w:spacing w:after="20"/>
            </w:pPr>
            <w:r>
              <w:rPr>
                <w:color w:val="2E3B38"/>
                <w:sz w:val="18"/>
              </w:rPr>
              <w:t>—</w:t>
            </w:r>
          </w:p>
        </w:tc>
      </w:tr>
    </w:tbl>
    <w:p>
      <w:pPr>
        <w:spacing w:after="80"/>
      </w:pPr>
    </w:p>
    <w:p>
      <w:pPr>
        <w:spacing w:after="120"/>
      </w:pPr>
      <w:r>
        <w:rPr>
          <w:b/>
          <w:color w:val="1E3C36"/>
          <w:sz w:val="21"/>
        </w:rPr>
        <w:t>Build scripts saved</w:t>
      </w:r>
      <w:r>
        <w:rPr>
          <w:color w:val="2E3B38"/>
          <w:sz w:val="21"/>
        </w:rPr>
        <w:t xml:space="preserve"> — </w:t>
      </w:r>
      <w:r>
        <w:rPr>
          <w:rFonts w:ascii="Consolas" w:hAnsi="Consolas"/>
          <w:color w:val="2E3B38"/>
          <w:sz w:val="21"/>
        </w:rPr>
        <w:t>build_loan_proposal.py</w:t>
      </w:r>
      <w:r>
        <w:rPr>
          <w:color w:val="2E3B38"/>
          <w:sz w:val="21"/>
        </w:rPr>
        <w:t xml:space="preserve">, </w:t>
      </w:r>
      <w:r>
        <w:rPr>
          <w:rFonts w:ascii="Consolas" w:hAnsi="Consolas"/>
          <w:color w:val="2E3B38"/>
          <w:sz w:val="21"/>
        </w:rPr>
        <w:t>build_closing_worksheet.py</w:t>
      </w:r>
      <w:r>
        <w:rPr>
          <w:color w:val="2E3B38"/>
          <w:sz w:val="21"/>
        </w:rPr>
        <w:t xml:space="preserve">, </w:t>
      </w:r>
      <w:r>
        <w:rPr>
          <w:rFonts w:ascii="Consolas" w:hAnsi="Consolas"/>
          <w:color w:val="2E3B38"/>
          <w:sz w:val="21"/>
        </w:rPr>
        <w:t>build_loan_application.py</w:t>
      </w:r>
      <w:r>
        <w:rPr>
          <w:color w:val="2E3B38"/>
          <w:sz w:val="21"/>
        </w:rPr>
        <w:t xml:space="preserve">, </w:t>
      </w:r>
      <w:r>
        <w:rPr>
          <w:rFonts w:ascii="Consolas" w:hAnsi="Consolas"/>
          <w:color w:val="2E3B38"/>
          <w:sz w:val="21"/>
        </w:rPr>
        <w:t>build_processing_checklist.py</w:t>
      </w:r>
      <w:r>
        <w:rPr>
          <w:color w:val="2E3B38"/>
          <w:sz w:val="21"/>
        </w:rPr>
        <w:t>. Future changes are a line edit and a re-run.</w:t>
      </w:r>
    </w:p>
    <w:p>
      <w:pPr>
        <w:spacing w:after="120"/>
      </w:pPr>
      <w:r>
        <w:rPr>
          <w:b/>
          <w:color w:val="1E3C36"/>
          <w:sz w:val="21"/>
        </w:rPr>
        <w:t>Open question:</w:t>
      </w:r>
      <w:r>
        <w:rPr>
          <w:color w:val="2E3B38"/>
          <w:sz w:val="21"/>
        </w:rPr>
        <w:t xml:space="preserve"> the trustee is hardcoded as "Robert Roberts" in the Promissory Note and Deed of Trust. Tokenize as </w:t>
      </w:r>
      <w:r>
        <w:rPr>
          <w:rFonts w:ascii="Consolas" w:hAnsi="Consolas"/>
          <w:color w:val="2E3B38"/>
          <w:sz w:val="21"/>
        </w:rPr>
        <w:t>{{TRUSTEE_NAME}}</w:t>
      </w:r>
      <w:r>
        <w:rPr>
          <w:color w:val="2E3B38"/>
          <w:sz w:val="21"/>
        </w:rPr>
        <w:t xml:space="preserve"> if it ever varies.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OPEN DECISIONS</w:t>
      </w:r>
    </w:p>
    <w:p>
      <w:pPr>
        <w:spacing w:after="120"/>
      </w:pPr>
      <w:r>
        <w:rPr>
          <w:i/>
          <w:color w:val="6B7A75"/>
          <w:sz w:val="21"/>
        </w:rPr>
        <w:t>None outstanding.</w:t>
      </w:r>
    </w:p>
    <w:p>
      <w:pPr>
        <w:spacing w:after="120"/>
      </w:pPr>
      <w:r>
        <w:rPr>
          <w:b/>
          <w:color w:val="1E3C36"/>
          <w:sz w:val="21"/>
        </w:rPr>
        <w:t>Application intake — settled.</w:t>
      </w:r>
      <w:r>
        <w:rPr>
          <w:color w:val="2E3B38"/>
          <w:sz w:val="21"/>
        </w:rPr>
        <w:t xml:space="preserve"> The online application at </w:t>
      </w:r>
      <w:r>
        <w:rPr>
          <w:rFonts w:ascii="Consolas" w:hAnsi="Consolas"/>
          <w:color w:val="2E3B38"/>
          <w:sz w:val="21"/>
        </w:rPr>
        <w:t>lazydogcapital.com/apply</w:t>
      </w:r>
      <w:r>
        <w:rPr>
          <w:color w:val="2E3B38"/>
          <w:sz w:val="21"/>
        </w:rPr>
        <w:t xml:space="preserve"> produces a record, not a signed PDF. </w:t>
      </w:r>
      <w:r>
        <w:rPr>
          <w:b/>
          <w:color w:val="1E3C36"/>
          <w:sz w:val="21"/>
        </w:rPr>
        <w:t>Credit authorization is handled entirely by the standalone Credit Authorization &amp; Background Check Consent form</w:t>
      </w:r>
      <w:r>
        <w:rPr>
          <w:color w:val="2E3B38"/>
          <w:sz w:val="21"/>
        </w:rPr>
        <w:t xml:space="preserve"> — one signed per principal and guarantor, which is where the SSN and date of birth are collected. The credit-authorization language is being removed from the website form.</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PER-DEAL FOLDER STRUCTURE</w:t>
      </w:r>
    </w:p>
    <w:p>
      <w:pPr>
        <w:spacing w:after="120"/>
      </w:pPr>
      <w:r>
        <w:rPr>
          <w:rFonts w:ascii="Consolas" w:hAnsi="Consolas"/>
          <w:color w:val="2E3B38"/>
          <w:sz w:val="21"/>
        </w:rPr>
        <w:t>`</w:t>
      </w:r>
    </w:p>
    <w:p>
      <w:pPr>
        <w:spacing w:after="120"/>
      </w:pPr>
      <w:r>
        <w:rPr>
          <w:color w:val="2E3B38"/>
          <w:sz w:val="21"/>
        </w:rPr>
        <w:t>/Loans/</w:t>
      </w:r>
    </w:p>
    <w:p>
      <w:pPr>
        <w:spacing w:after="120"/>
      </w:pPr>
      <w:r>
        <w:rPr>
          <w:color w:val="2E3B38"/>
          <w:sz w:val="21"/>
        </w:rPr>
        <w:t>1234 Elm St, Garland TX/</w:t>
      </w:r>
    </w:p>
    <w:p>
      <w:pPr>
        <w:spacing w:after="120"/>
      </w:pPr>
      <w:r>
        <w:rPr>
          <w:color w:val="2E3B38"/>
          <w:sz w:val="21"/>
        </w:rPr>
        <w:t>01_Intake_Loan_Proposal/</w:t>
      </w:r>
    </w:p>
    <w:p>
      <w:pPr>
        <w:spacing w:after="120"/>
      </w:pPr>
      <w:r>
        <w:rPr>
          <w:color w:val="2E3B38"/>
          <w:sz w:val="21"/>
        </w:rPr>
        <w:t>02_Budget_Scope_Application/</w:t>
      </w:r>
    </w:p>
    <w:p>
      <w:pPr>
        <w:spacing w:after="120"/>
      </w:pPr>
      <w:r>
        <w:rPr>
          <w:color w:val="2E3B38"/>
          <w:sz w:val="21"/>
        </w:rPr>
        <w:t>03_Underwriting/</w:t>
      </w:r>
    </w:p>
    <w:p>
      <w:pPr>
        <w:spacing w:after="120"/>
      </w:pPr>
      <w:r>
        <w:rPr>
          <w:color w:val="2E3B38"/>
          <w:sz w:val="21"/>
        </w:rPr>
        <w:t>04_Conditional_Approval/</w:t>
      </w:r>
    </w:p>
    <w:p>
      <w:pPr>
        <w:spacing w:after="120"/>
      </w:pPr>
      <w:r>
        <w:rPr>
          <w:color w:val="2E3B38"/>
          <w:sz w:val="21"/>
        </w:rPr>
        <w:t>05_Capital_Partner/</w:t>
      </w:r>
    </w:p>
    <w:p>
      <w:pPr>
        <w:spacing w:after="120"/>
      </w:pPr>
      <w:r>
        <w:rPr>
          <w:color w:val="2E3B38"/>
          <w:sz w:val="21"/>
        </w:rPr>
        <w:t>06_Pre_Closing/</w:t>
      </w:r>
    </w:p>
    <w:p>
      <w:pPr>
        <w:spacing w:after="120"/>
      </w:pPr>
      <w:r>
        <w:rPr>
          <w:color w:val="2E3B38"/>
          <w:sz w:val="21"/>
        </w:rPr>
        <w:t>07_Closing/</w:t>
      </w:r>
    </w:p>
    <w:p>
      <w:pPr>
        <w:spacing w:after="120"/>
      </w:pPr>
      <w:r>
        <w:rPr>
          <w:color w:val="2E3B38"/>
          <w:sz w:val="21"/>
        </w:rPr>
        <w:t>08_Post_Closing/</w:t>
      </w:r>
    </w:p>
    <w:p>
      <w:pPr>
        <w:spacing w:after="120"/>
      </w:pPr>
      <w:r>
        <w:rPr>
          <w:color w:val="2E3B38"/>
          <w:sz w:val="21"/>
        </w:rPr>
        <w:t>09_Servicing/</w:t>
      </w:r>
    </w:p>
    <w:p>
      <w:pPr>
        <w:spacing w:after="120"/>
      </w:pPr>
      <w:r>
        <w:rPr>
          <w:color w:val="2E3B38"/>
          <w:sz w:val="21"/>
        </w:rPr>
        <w:t>Draws/</w:t>
      </w:r>
    </w:p>
    <w:p>
      <w:pPr>
        <w:spacing w:after="120"/>
      </w:pPr>
      <w:r>
        <w:rPr>
          <w:color w:val="2E3B38"/>
          <w:sz w:val="21"/>
        </w:rPr>
        <w:t>Statements/</w:t>
      </w:r>
    </w:p>
    <w:p>
      <w:pPr>
        <w:spacing w:after="120"/>
      </w:pPr>
      <w:r>
        <w:rPr>
          <w:color w:val="2E3B38"/>
          <w:sz w:val="21"/>
        </w:rPr>
        <w:t>10_Default/</w:t>
      </w:r>
    </w:p>
    <w:p>
      <w:pPr>
        <w:spacing w:after="120"/>
      </w:pPr>
      <w:r>
        <w:rPr>
          <w:color w:val="2E3B38"/>
          <w:sz w:val="21"/>
        </w:rPr>
        <w:t>Notices/</w:t>
      </w:r>
    </w:p>
    <w:p>
      <w:pPr>
        <w:spacing w:after="120"/>
      </w:pPr>
      <w:r>
        <w:rPr>
          <w:color w:val="2E3B38"/>
          <w:sz w:val="21"/>
        </w:rPr>
        <w:t>Foreclosure/</w:t>
      </w:r>
    </w:p>
    <w:p>
      <w:pPr>
        <w:spacing w:after="120"/>
      </w:pPr>
      <w:r>
        <w:rPr>
          <w:color w:val="2E3B38"/>
          <w:sz w:val="21"/>
        </w:rPr>
        <w:t>Deed_in_Lieu/</w:t>
      </w:r>
    </w:p>
    <w:p>
      <w:pPr>
        <w:spacing w:after="120"/>
      </w:pPr>
      <w:r>
        <w:rPr>
          <w:color w:val="2E3B38"/>
          <w:sz w:val="21"/>
        </w:rPr>
        <w:t>Internal/</w:t>
      </w:r>
    </w:p>
    <w:p>
      <w:pPr>
        <w:spacing w:after="120"/>
      </w:pPr>
      <w:r>
        <w:rPr>
          <w:color w:val="2E3B38"/>
          <w:sz w:val="21"/>
        </w:rPr>
        <w:t>11_Payoff_Release/</w:t>
      </w:r>
    </w:p>
    <w:p>
      <w:pPr>
        <w:spacing w:after="120"/>
      </w:pPr>
      <w:r>
        <w:rPr>
          <w:color w:val="2E3B38"/>
          <w:sz w:val="21"/>
        </w:rPr>
        <w:t>_Correspondence/</w:t>
      </w:r>
    </w:p>
    <w:p>
      <w:pPr>
        <w:spacing w:after="120"/>
      </w:pPr>
      <w:r>
        <w:rPr>
          <w:rFonts w:ascii="Consolas" w:hAnsi="Consolas"/>
          <w:color w:val="2E3B38"/>
          <w:sz w:val="21"/>
        </w:rPr>
        <w:t>`</w:t>
      </w:r>
    </w:p>
    <w:p>
      <w:pPr>
        <w:spacing w:after="120"/>
      </w:pPr>
      <w:r>
        <w:rPr>
          <w:rFonts w:ascii="Consolas" w:hAnsi="Consolas"/>
          <w:color w:val="2E3B38"/>
          <w:sz w:val="21"/>
        </w:rPr>
        <w:t>_Correspondence</w:t>
      </w:r>
      <w:r>
        <w:rPr>
          <w:color w:val="2E3B38"/>
          <w:sz w:val="21"/>
        </w:rPr>
        <w:t xml:space="preserve"> holds the email thread and anything that doesn't belong to a single stage. Leading underscore keeps it at the bottom.</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GAPS SUMMARY — NONE</w:t>
      </w:r>
    </w:p>
    <w:p>
      <w:pPr>
        <w:spacing w:after="120"/>
      </w:pPr>
      <w:r>
        <w:rPr>
          <w:color w:val="2E3B38"/>
          <w:sz w:val="21"/>
        </w:rPr>
        <w:t>Every document in the workflow is built.</w:t>
      </w:r>
    </w:p>
    <w:p>
      <w:pPr>
        <w:spacing w:after="120"/>
      </w:pPr>
      <w:r>
        <w:rPr>
          <w:color w:val="2E3B38"/>
          <w:sz w:val="21"/>
        </w:rPr>
        <w:t xml:space="preserve">IRS W-9 (Rev. March 2024) is on hand — store a copy in both </w:t>
      </w:r>
      <w:r>
        <w:rPr>
          <w:rFonts w:ascii="Consolas" w:hAnsi="Consolas"/>
          <w:color w:val="2E3B38"/>
          <w:sz w:val="21"/>
        </w:rPr>
        <w:t>/Templates/05_Capital_Partner/</w:t>
      </w:r>
      <w:r>
        <w:rPr>
          <w:color w:val="2E3B38"/>
          <w:sz w:val="21"/>
        </w:rPr>
        <w:t xml:space="preserve"> and </w:t>
      </w:r>
      <w:r>
        <w:rPr>
          <w:rFonts w:ascii="Consolas" w:hAnsi="Consolas"/>
          <w:color w:val="2E3B38"/>
          <w:sz w:val="21"/>
        </w:rPr>
        <w:t>/Templates/07_Closing/</w:t>
      </w:r>
      <w:r>
        <w:rPr>
          <w:color w:val="2E3B38"/>
          <w:sz w:val="21"/>
        </w:rPr>
        <w:t>.</w:t>
      </w:r>
    </w:p>
    <w:p>
      <w:pPr>
        <w:spacing w:after="120"/>
      </w:pPr>
      <w:r>
        <w:rPr>
          <w:b/>
          <w:color w:val="1E3C36"/>
          <w:sz w:val="21"/>
        </w:rPr>
        <w:t>Drafted, awaiting Texas real estate attorney review</w:t>
      </w:r>
      <w:r>
        <w:rPr>
          <w:color w:val="2E3B38"/>
          <w:sz w:val="21"/>
        </w:rPr>
        <w:t xml:space="preserve"> — 7 documents in the stage 10C workout packet, plus 1 abandoned draft retained for context.</w:t>
      </w:r>
    </w:p>
    <w:p>
      <w:pPr>
        <w:spacing w:after="120"/>
      </w:pPr>
      <w:r>
        <w:rPr>
          <w:b/>
          <w:color w:val="1E3C36"/>
          <w:sz w:val="21"/>
        </w:rPr>
        <w:t>Standing gate — sharpened.</w:t>
      </w:r>
      <w:r>
        <w:rPr>
          <w:color w:val="2E3B38"/>
          <w:sz w:val="21"/>
        </w:rPr>
        <w:t xml:space="preserve"> Per-deal agreements offered to multiple partners who each review and decide is a </w:t>
      </w:r>
      <w:r>
        <w:rPr>
          <w:b/>
          <w:color w:val="1E3C36"/>
          <w:sz w:val="21"/>
        </w:rPr>
        <w:t>series of separate securities offerings</w:t>
      </w:r>
      <w:r>
        <w:rPr>
          <w:color w:val="2E3B38"/>
          <w:sz w:val="21"/>
        </w:rPr>
        <w:t>, not one relationship. That materially changes the securities analysis: each deal is potentially its own private placement, with its own exemption, its own filing, and its own general-solicitation constraints. Securities-attorney review is required before any Capital Partner document goes to an investor, and the attorney needs to know the structure is per-deal.</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