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LAZY DOG TEMPLATES — MASTER MANIFEST</w:t>
      </w:r>
    </w:p>
    <w:p>
      <w:pPr>
        <w:spacing w:before="260" w:after="80"/>
        <w:pBdr>
          <w:bottom w:val="single" w:sz="4" w:space="3" w:color="DFD8C8"/>
        </w:pBdr>
      </w:pPr>
      <w:r>
        <w:rPr>
          <w:rFonts w:ascii="Century Gothic" w:hAnsi="Century Gothic"/>
          <w:b/>
          <w:color w:val="1E3C36"/>
          <w:sz w:val="18"/>
        </w:rPr>
        <w:t>FIRST EDITION · AUGUST 4, 2026</w:t>
      </w:r>
    </w:p>
    <w:p>
      <w:pPr>
        <w:spacing w:after="120"/>
      </w:pPr>
      <w:r>
        <w:rPr>
          <w:color w:val="2E3B38"/>
          <w:sz w:val="21"/>
        </w:rPr>
        <w:t>Complete record of the Lazy Dog Capital template library. 55 unique documents across 15 folders, 98 files including duplicates and alternate formats.</w:t>
      </w:r>
    </w:p>
    <w:p>
      <w:pPr>
        <w:spacing w:after="120"/>
      </w:pPr>
      <w:r>
        <w:rPr>
          <w:b/>
          <w:color w:val="1E3C36"/>
          <w:sz w:val="21"/>
        </w:rPr>
        <w:t>Status legend</w:t>
      </w:r>
    </w:p>
    <w:p>
      <w:pPr>
        <w:spacing w:after="120"/>
      </w:pPr>
      <w:r>
        <w:rPr>
          <w:b/>
          <w:color w:val="1E3C36"/>
          <w:sz w:val="21"/>
        </w:rPr>
        <w:t>READY</w:t>
      </w:r>
      <w:r>
        <w:rPr>
          <w:color w:val="2E3B38"/>
          <w:sz w:val="21"/>
        </w:rPr>
        <w:t xml:space="preserve"> — built, reviewed in this build, usable</w:t>
      </w:r>
    </w:p>
    <w:p>
      <w:pPr>
        <w:spacing w:after="120"/>
      </w:pPr>
      <w:r>
        <w:rPr>
          <w:b/>
          <w:color w:val="1E3C36"/>
          <w:sz w:val="21"/>
        </w:rPr>
        <w:t>ATTORNEY</w:t>
      </w:r>
      <w:r>
        <w:rPr>
          <w:color w:val="2E3B38"/>
          <w:sz w:val="21"/>
        </w:rPr>
        <w:t xml:space="preserve"> — drafted, requires attorney sign-off before use on a live deal</w:t>
      </w:r>
    </w:p>
    <w:p>
      <w:pPr>
        <w:spacing w:after="120"/>
      </w:pPr>
      <w:r>
        <w:rPr>
          <w:b/>
          <w:color w:val="1E3C36"/>
          <w:sz w:val="21"/>
        </w:rPr>
        <w:t>RETIRED</w:t>
      </w:r>
      <w:r>
        <w:rPr>
          <w:color w:val="2E3B38"/>
          <w:sz w:val="21"/>
        </w:rPr>
        <w:t xml:space="preserve"> — no longer in use, kept for reference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00 — MARKETING &amp; PRE-DEAL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Borrower FAQ</w:t>
            </w:r>
          </w:p>
        </w:tc>
        <w:tc>
          <w:tcPr>
            <w:tcW w:type="dxa" w:w="2448"/>
            <w:shd w:val="clear" w:fill="F7F6F3"/>
          </w:tcPr>
          <w:p>
            <w:pPr>
              <w:spacing w:after="20"/>
            </w:pPr>
            <w:r>
              <w:rPr>
                <w:color w:val="2E3B38"/>
                <w:sz w:val="18"/>
              </w:rPr>
              <w:t>md · docx · pdf</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Rebuilt this edition. 20 questions. States 12% / 2 points openly.</w:t>
            </w:r>
          </w:p>
        </w:tc>
      </w:tr>
      <w:tr>
        <w:tc>
          <w:tcPr>
            <w:tcW w:type="dxa" w:w="2448"/>
          </w:tcPr>
          <w:p>
            <w:pPr>
              <w:spacing w:after="20"/>
            </w:pPr>
            <w:r>
              <w:rPr>
                <w:color w:val="2E3B38"/>
                <w:sz w:val="18"/>
              </w:rPr>
              <w:t>Proof of Funds Letter</w:t>
            </w:r>
          </w:p>
        </w:tc>
        <w:tc>
          <w:tcPr>
            <w:tcW w:type="dxa" w:w="2448"/>
          </w:tcPr>
          <w:p>
            <w:pPr>
              <w:spacing w:after="20"/>
            </w:pPr>
            <w:r>
              <w:rPr>
                <w:color w:val="2E3B38"/>
                <w:sz w:val="18"/>
              </w:rPr>
              <w:t>docx · md · pdf</w:t>
            </w:r>
          </w:p>
        </w:tc>
        <w:tc>
          <w:tcPr>
            <w:tcW w:type="dxa" w:w="2448"/>
          </w:tcPr>
          <w:p>
            <w:pPr>
              <w:spacing w:after="20"/>
            </w:pPr>
            <w:r>
              <w:rPr>
                <w:color w:val="2E3B38"/>
                <w:sz w:val="18"/>
              </w:rPr>
              <w:t>READY</w:t>
            </w:r>
          </w:p>
        </w:tc>
        <w:tc>
          <w:tcPr>
            <w:tcW w:type="dxa" w:w="2448"/>
          </w:tcPr>
          <w:p>
            <w:pPr>
              <w:spacing w:after="20"/>
            </w:pPr>
            <w:r>
              <w:rPr>
                <w:color w:val="2E3B38"/>
                <w:sz w:val="18"/>
              </w:rPr>
              <w:t>Reviewed this edition — no changes needed.</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01 — INTAKE &amp; LOAN PROPOSAL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Loan Proposal — Fillable</w:t>
            </w:r>
          </w:p>
        </w:tc>
        <w:tc>
          <w:tcPr>
            <w:tcW w:type="dxa" w:w="2448"/>
            <w:shd w:val="clear" w:fill="F7F6F3"/>
          </w:tcPr>
          <w:p>
            <w:pPr>
              <w:spacing w:after="20"/>
            </w:pPr>
            <w:r>
              <w:rPr>
                <w:color w:val="2E3B38"/>
                <w:sz w:val="18"/>
              </w:rPr>
              <w:t>pdf</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Rebuilt from scratch in ReportLab. 23 form fields, 2 pages, Forest Green.</w:t>
            </w:r>
          </w:p>
        </w:tc>
      </w:tr>
      <w:tr>
        <w:tc>
          <w:tcPr>
            <w:tcW w:type="dxa" w:w="2448"/>
          </w:tcPr>
          <w:p>
            <w:pPr>
              <w:spacing w:after="20"/>
            </w:pPr>
            <w:r>
              <w:rPr>
                <w:color w:val="2E3B38"/>
                <w:sz w:val="18"/>
              </w:rPr>
              <w:t>Loan Proposal — merge master</w:t>
            </w:r>
          </w:p>
        </w:tc>
        <w:tc>
          <w:tcPr>
            <w:tcW w:type="dxa" w:w="2448"/>
          </w:tcPr>
          <w:p>
            <w:pPr>
              <w:spacing w:after="20"/>
            </w:pPr>
            <w:r>
              <w:rPr>
                <w:color w:val="2E3B38"/>
                <w:sz w:val="18"/>
              </w:rPr>
              <w:t>docx · md · pdf</w:t>
            </w:r>
          </w:p>
        </w:tc>
        <w:tc>
          <w:tcPr>
            <w:tcW w:type="dxa" w:w="2448"/>
          </w:tcPr>
          <w:p>
            <w:pPr>
              <w:spacing w:after="20"/>
            </w:pPr>
            <w:r>
              <w:rPr>
                <w:color w:val="2E3B38"/>
                <w:sz w:val="18"/>
              </w:rPr>
              <w:t>READY</w:t>
            </w:r>
          </w:p>
        </w:tc>
        <w:tc>
          <w:tcPr>
            <w:tcW w:type="dxa" w:w="2448"/>
          </w:tcPr>
          <w:p>
            <w:pPr>
              <w:spacing w:after="20"/>
            </w:pPr>
            <w:r>
              <w:rPr>
                <w:color w:val="2E3B38"/>
                <w:sz w:val="18"/>
              </w:rPr>
              <w:t>Was "Loan Term Sheet." Renamed and re-termed this edition.</w:t>
            </w:r>
          </w:p>
        </w:tc>
      </w:tr>
    </w:tbl>
    <w:p>
      <w:pPr>
        <w:spacing w:after="80"/>
      </w:pPr>
    </w:p>
    <w:p>
      <w:pPr>
        <w:spacing w:after="120"/>
      </w:pPr>
      <w:r>
        <w:rPr>
          <w:i/>
          <w:color w:val="6B7A75"/>
          <w:sz w:val="21"/>
        </w:rPr>
        <w:t>Intake auto-reply and Loan Proposal cover email are live on the website, not in this library.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02 — BUDGET, SCOPE &amp; APPLICATION</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Application &amp; Budget Request email</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Sends application link, credit form, budget template.</w:t>
            </w:r>
          </w:p>
        </w:tc>
      </w:tr>
      <w:tr>
        <w:tc>
          <w:tcPr>
            <w:tcW w:type="dxa" w:w="2448"/>
          </w:tcPr>
          <w:p>
            <w:pPr>
              <w:spacing w:after="20"/>
            </w:pPr>
            <w:r>
              <w:rPr>
                <w:color w:val="2E3B38"/>
                <w:sz w:val="18"/>
              </w:rPr>
              <w:t>Loan Application — Fillable</w:t>
            </w:r>
          </w:p>
        </w:tc>
        <w:tc>
          <w:tcPr>
            <w:tcW w:type="dxa" w:w="2448"/>
          </w:tcPr>
          <w:p>
            <w:pPr>
              <w:spacing w:after="20"/>
            </w:pPr>
            <w:r>
              <w:rPr>
                <w:color w:val="2E3B38"/>
                <w:sz w:val="18"/>
              </w:rPr>
              <w:t>pdf</w:t>
            </w:r>
          </w:p>
        </w:tc>
        <w:tc>
          <w:tcPr>
            <w:tcW w:type="dxa" w:w="2448"/>
          </w:tcPr>
          <w:p>
            <w:pPr>
              <w:spacing w:after="20"/>
            </w:pPr>
            <w:r>
              <w:rPr>
                <w:color w:val="2E3B38"/>
                <w:sz w:val="18"/>
              </w:rPr>
              <w:t>READY</w:t>
            </w:r>
          </w:p>
        </w:tc>
        <w:tc>
          <w:tcPr>
            <w:tcW w:type="dxa" w:w="2448"/>
          </w:tcPr>
          <w:p>
            <w:pPr>
              <w:spacing w:after="20"/>
            </w:pPr>
            <w:r>
              <w:rPr>
                <w:color w:val="2E3B38"/>
                <w:sz w:val="18"/>
              </w:rPr>
              <w:t>Rebuilt. 127 fields, 3 pages. Credit authorization removed.</w:t>
            </w:r>
          </w:p>
        </w:tc>
      </w:tr>
      <w:tr>
        <w:tc>
          <w:tcPr>
            <w:tcW w:type="dxa" w:w="2448"/>
            <w:shd w:val="clear" w:fill="F7F6F3"/>
          </w:tcPr>
          <w:p>
            <w:pPr>
              <w:spacing w:after="20"/>
            </w:pPr>
            <w:r>
              <w:rPr>
                <w:color w:val="2E3B38"/>
                <w:sz w:val="18"/>
              </w:rPr>
              <w:t>Credit Authorization &amp; Background Check Consent</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 One per principal and guarantor. Collects SSN and DOB.</w:t>
            </w:r>
          </w:p>
        </w:tc>
      </w:tr>
      <w:tr>
        <w:tc>
          <w:tcPr>
            <w:tcW w:type="dxa" w:w="2448"/>
          </w:tcPr>
          <w:p>
            <w:pPr>
              <w:spacing w:after="20"/>
            </w:pPr>
            <w:r>
              <w:rPr>
                <w:color w:val="2E3B38"/>
                <w:sz w:val="18"/>
              </w:rPr>
              <w:t>Rehab Budget &amp; Scope of Work — Fillable</w:t>
            </w:r>
          </w:p>
        </w:tc>
        <w:tc>
          <w:tcPr>
            <w:tcW w:type="dxa" w:w="2448"/>
          </w:tcPr>
          <w:p>
            <w:pPr>
              <w:spacing w:after="20"/>
            </w:pPr>
            <w:r>
              <w:rPr>
                <w:color w:val="2E3B38"/>
                <w:sz w:val="18"/>
              </w:rPr>
              <w:t>pdf</w:t>
            </w:r>
          </w:p>
        </w:tc>
        <w:tc>
          <w:tcPr>
            <w:tcW w:type="dxa" w:w="2448"/>
          </w:tcPr>
          <w:p>
            <w:pPr>
              <w:spacing w:after="20"/>
            </w:pPr>
            <w:r>
              <w:rPr>
                <w:color w:val="2E3B38"/>
                <w:sz w:val="18"/>
              </w:rPr>
              <w:t>READY</w:t>
            </w:r>
          </w:p>
        </w:tc>
        <w:tc>
          <w:tcPr>
            <w:tcW w:type="dxa" w:w="2448"/>
          </w:tcPr>
          <w:p>
            <w:pPr>
              <w:spacing w:after="20"/>
            </w:pPr>
            <w:r>
              <w:rPr>
                <w:color w:val="2E3B38"/>
                <w:sz w:val="18"/>
              </w:rPr>
              <w:t>Reviewed this edition — no changes needed.</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03 — UNDERWRITING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Deal Underwriting Worksheet</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 One page. Enforces the deal math order.</w:t>
            </w:r>
          </w:p>
        </w:tc>
      </w:tr>
      <w:tr>
        <w:tc>
          <w:tcPr>
            <w:tcW w:type="dxa" w:w="2448"/>
          </w:tcPr>
          <w:p>
            <w:pPr>
              <w:spacing w:after="20"/>
            </w:pPr>
            <w:r>
              <w:rPr>
                <w:color w:val="2E3B38"/>
                <w:sz w:val="18"/>
              </w:rPr>
              <w:t>Internal Loan Processing Checklist — Fillable</w:t>
            </w:r>
          </w:p>
        </w:tc>
        <w:tc>
          <w:tcPr>
            <w:tcW w:type="dxa" w:w="2448"/>
          </w:tcPr>
          <w:p>
            <w:pPr>
              <w:spacing w:after="20"/>
            </w:pPr>
            <w:r>
              <w:rPr>
                <w:color w:val="2E3B38"/>
                <w:sz w:val="18"/>
              </w:rPr>
              <w:t>pdf</w:t>
            </w:r>
          </w:p>
        </w:tc>
        <w:tc>
          <w:tcPr>
            <w:tcW w:type="dxa" w:w="2448"/>
          </w:tcPr>
          <w:p>
            <w:pPr>
              <w:spacing w:after="20"/>
            </w:pPr>
            <w:r>
              <w:rPr>
                <w:color w:val="2E3B38"/>
                <w:sz w:val="18"/>
              </w:rPr>
              <w:t>READY</w:t>
            </w:r>
          </w:p>
        </w:tc>
        <w:tc>
          <w:tcPr>
            <w:tcW w:type="dxa" w:w="2448"/>
          </w:tcPr>
          <w:p>
            <w:pPr>
              <w:spacing w:after="20"/>
            </w:pPr>
            <w:r>
              <w:rPr>
                <w:color w:val="2E3B38"/>
                <w:sz w:val="18"/>
              </w:rPr>
              <w:t>Rebuilt. 58 items across the 11 stages, 3 pages.</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04 — CONDITIONAL APPROVAL</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Conditional Approval cover email</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w:t>
            </w:r>
          </w:p>
        </w:tc>
      </w:tr>
      <w:tr>
        <w:tc>
          <w:tcPr>
            <w:tcW w:type="dxa" w:w="2448"/>
          </w:tcPr>
          <w:p>
            <w:pPr>
              <w:spacing w:after="20"/>
            </w:pPr>
            <w:r>
              <w:rPr>
                <w:color w:val="2E3B38"/>
                <w:sz w:val="18"/>
              </w:rPr>
              <w:t>Conditional Approval</w:t>
            </w:r>
          </w:p>
        </w:tc>
        <w:tc>
          <w:tcPr>
            <w:tcW w:type="dxa" w:w="2448"/>
          </w:tcPr>
          <w:p>
            <w:pPr>
              <w:spacing w:after="20"/>
            </w:pPr>
            <w:r>
              <w:rPr>
                <w:color w:val="2E3B38"/>
                <w:sz w:val="18"/>
              </w:rPr>
              <w:t>md</w:t>
            </w:r>
          </w:p>
        </w:tc>
        <w:tc>
          <w:tcPr>
            <w:tcW w:type="dxa" w:w="2448"/>
          </w:tcPr>
          <w:p>
            <w:pPr>
              <w:spacing w:after="20"/>
            </w:pPr>
            <w:r>
              <w:rPr>
                <w:color w:val="2E3B38"/>
                <w:sz w:val="18"/>
              </w:rPr>
              <w:t>READY</w:t>
            </w:r>
          </w:p>
        </w:tc>
        <w:tc>
          <w:tcPr>
            <w:tcW w:type="dxa" w:w="2448"/>
          </w:tcPr>
          <w:p>
            <w:pPr>
              <w:spacing w:after="20"/>
            </w:pPr>
            <w:r>
              <w:rPr>
                <w:color w:val="2E3B38"/>
                <w:sz w:val="18"/>
              </w:rPr>
              <w:t>New this edition. Carries verified numbers and the conditions list. Expires 30 days.</w:t>
            </w:r>
          </w:p>
        </w:tc>
      </w:tr>
      <w:tr>
        <w:tc>
          <w:tcPr>
            <w:tcW w:type="dxa" w:w="2448"/>
            <w:shd w:val="clear" w:fill="F7F6F3"/>
          </w:tcPr>
          <w:p>
            <w:pPr>
              <w:spacing w:after="20"/>
            </w:pPr>
            <w:r>
              <w:rPr>
                <w:color w:val="2E3B38"/>
                <w:sz w:val="18"/>
              </w:rPr>
              <w:t>Conditions follow-up email</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w:t>
            </w:r>
          </w:p>
        </w:tc>
      </w:tr>
      <w:tr>
        <w:tc>
          <w:tcPr>
            <w:tcW w:type="dxa" w:w="2448"/>
          </w:tcPr>
          <w:p>
            <w:pPr>
              <w:spacing w:after="20"/>
            </w:pPr>
            <w:r>
              <w:rPr>
                <w:color w:val="2E3B38"/>
                <w:sz w:val="18"/>
              </w:rPr>
              <w:t>Schedule of Real Estate Owned &amp; Flip Experience</w:t>
            </w:r>
          </w:p>
        </w:tc>
        <w:tc>
          <w:tcPr>
            <w:tcW w:type="dxa" w:w="2448"/>
          </w:tcPr>
          <w:p>
            <w:pPr>
              <w:spacing w:after="20"/>
            </w:pPr>
            <w:r>
              <w:rPr>
                <w:color w:val="2E3B38"/>
                <w:sz w:val="18"/>
              </w:rPr>
              <w:t>md</w:t>
            </w:r>
          </w:p>
        </w:tc>
        <w:tc>
          <w:tcPr>
            <w:tcW w:type="dxa" w:w="2448"/>
          </w:tcPr>
          <w:p>
            <w:pPr>
              <w:spacing w:after="20"/>
            </w:pPr>
            <w:r>
              <w:rPr>
                <w:color w:val="2E3B38"/>
                <w:sz w:val="18"/>
              </w:rPr>
              <w:t>READY</w:t>
            </w:r>
          </w:p>
        </w:tc>
        <w:tc>
          <w:tcPr>
            <w:tcW w:type="dxa" w:w="2448"/>
          </w:tcPr>
          <w:p>
            <w:pPr>
              <w:spacing w:after="20"/>
            </w:pPr>
            <w:r>
              <w:rPr>
                <w:color w:val="2E3B38"/>
                <w:sz w:val="18"/>
              </w:rPr>
              <w:t>New this edition. Five parts including lending history.</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05A — CAPITAL PARTNER ONBOARDING (ONCE PER PARTNER)</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Partner Profile</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 Includes the pre-existing relationship field.</w:t>
            </w:r>
          </w:p>
        </w:tc>
      </w:tr>
      <w:tr>
        <w:tc>
          <w:tcPr>
            <w:tcW w:type="dxa" w:w="2448"/>
          </w:tcPr>
          <w:p>
            <w:pPr>
              <w:spacing w:after="20"/>
            </w:pPr>
            <w:r>
              <w:rPr>
                <w:color w:val="2E3B38"/>
                <w:sz w:val="18"/>
              </w:rPr>
              <w:t>Accredited Investor &amp; Suitability Questionnaire</w:t>
            </w:r>
          </w:p>
        </w:tc>
        <w:tc>
          <w:tcPr>
            <w:tcW w:type="dxa" w:w="2448"/>
          </w:tcPr>
          <w:p>
            <w:pPr>
              <w:spacing w:after="20"/>
            </w:pPr>
            <w:r>
              <w:rPr>
                <w:color w:val="2E3B38"/>
                <w:sz w:val="18"/>
              </w:rPr>
              <w:t>docx · md · pdf</w:t>
            </w:r>
          </w:p>
        </w:tc>
        <w:tc>
          <w:tcPr>
            <w:tcW w:type="dxa" w:w="2448"/>
          </w:tcPr>
          <w:p>
            <w:pPr>
              <w:spacing w:after="20"/>
            </w:pPr>
            <w:r>
              <w:rPr>
                <w:color w:val="2E3B38"/>
                <w:sz w:val="18"/>
              </w:rPr>
              <w:t>READY</w:t>
            </w:r>
          </w:p>
        </w:tc>
        <w:tc>
          <w:tcPr>
            <w:tcW w:type="dxa" w:w="2448"/>
          </w:tcPr>
          <w:p>
            <w:pPr>
              <w:spacing w:after="20"/>
            </w:pPr>
            <w:r>
              <w:rPr>
                <w:color w:val="2E3B38"/>
                <w:sz w:val="18"/>
              </w:rPr>
              <w:t>Reviewed this edition — current Reg D categories, no stale terms.</w:t>
            </w:r>
          </w:p>
        </w:tc>
      </w:tr>
      <w:tr>
        <w:tc>
          <w:tcPr>
            <w:tcW w:type="dxa" w:w="2448"/>
            <w:shd w:val="clear" w:fill="F7F6F3"/>
          </w:tcPr>
          <w:p>
            <w:pPr>
              <w:spacing w:after="20"/>
            </w:pPr>
            <w:r>
              <w:rPr>
                <w:color w:val="2E3B38"/>
                <w:sz w:val="18"/>
              </w:rPr>
              <w:t>IRS Form W-9 (Rev. March 2024)</w:t>
            </w:r>
          </w:p>
        </w:tc>
        <w:tc>
          <w:tcPr>
            <w:tcW w:type="dxa" w:w="2448"/>
            <w:shd w:val="clear" w:fill="F7F6F3"/>
          </w:tcPr>
          <w:p>
            <w:pPr>
              <w:spacing w:after="20"/>
            </w:pPr>
            <w:r>
              <w:rPr>
                <w:color w:val="2E3B38"/>
                <w:sz w:val="18"/>
              </w:rPr>
              <w:t>pdf</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Blank IRS form.</w:t>
            </w:r>
          </w:p>
        </w:tc>
      </w:tr>
    </w:tbl>
    <w:p>
      <w:pPr>
        <w:spacing w:after="80"/>
      </w:pPr>
    </w:p>
    <w:p>
      <w:pPr>
        <w:spacing w:after="120"/>
      </w:pPr>
      <w:r>
        <w:rPr>
          <w:b/>
          <w:color w:val="1E3C36"/>
          <w:sz w:val="21"/>
        </w:rPr>
        <w:t>Rebuilt this edition — recovered and corrected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Capital Partner Pitch</w:t>
            </w:r>
          </w:p>
        </w:tc>
        <w:tc>
          <w:tcPr>
            <w:tcW w:type="dxa" w:w="2448"/>
            <w:shd w:val="clear" w:fill="F7F6F3"/>
          </w:tcPr>
          <w:p>
            <w:pPr>
              <w:spacing w:after="20"/>
            </w:pPr>
            <w:r>
              <w:rPr>
                <w:b/>
                <w:color w:val="1E3C36"/>
                <w:sz w:val="18"/>
              </w:rPr>
              <w:t>pptx</w:t>
            </w:r>
            <w:r>
              <w:rPr>
                <w:color w:val="2E3B38"/>
                <w:sz w:val="18"/>
              </w:rPr>
              <w:t xml:space="preserve"> · </w:t>
            </w:r>
            <w:r>
              <w:rPr>
                <w:b/>
                <w:color w:val="1E3C36"/>
                <w:sz w:val="18"/>
              </w:rPr>
              <w:t>docx</w:t>
            </w:r>
            <w:r>
              <w:rPr>
                <w:color w:val="2E3B38"/>
                <w:sz w:val="18"/>
              </w:rPr>
              <w:t xml:space="preserve"> · pdf, 11 slides</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Rebuilt in Forest Green with the master logo artwork. PowerPoint has speaker notes; Word version is a leave-behind.</w:t>
            </w:r>
          </w:p>
        </w:tc>
      </w:tr>
      <w:tr>
        <w:tc>
          <w:tcPr>
            <w:tcW w:type="dxa" w:w="2448"/>
          </w:tcPr>
          <w:p>
            <w:pPr>
              <w:spacing w:after="20"/>
            </w:pPr>
            <w:r>
              <w:rPr>
                <w:color w:val="2E3B38"/>
                <w:sz w:val="18"/>
              </w:rPr>
              <w:t>Sample Deal Case Study</w:t>
            </w:r>
          </w:p>
        </w:tc>
        <w:tc>
          <w:tcPr>
            <w:tcW w:type="dxa" w:w="2448"/>
          </w:tcPr>
          <w:p>
            <w:pPr>
              <w:spacing w:after="20"/>
            </w:pPr>
            <w:r>
              <w:rPr>
                <w:b/>
                <w:color w:val="1E3C36"/>
                <w:sz w:val="18"/>
              </w:rPr>
              <w:t>docx</w:t>
            </w:r>
            <w:r>
              <w:rPr>
                <w:color w:val="2E3B38"/>
                <w:sz w:val="18"/>
              </w:rPr>
              <w:t xml:space="preserve"> · pdf, 4 pages</w:t>
            </w:r>
          </w:p>
        </w:tc>
        <w:tc>
          <w:tcPr>
            <w:tcW w:type="dxa" w:w="2448"/>
          </w:tcPr>
          <w:p>
            <w:pPr>
              <w:spacing w:after="20"/>
            </w:pPr>
            <w:r>
              <w:rPr>
                <w:color w:val="2E3B38"/>
                <w:sz w:val="18"/>
              </w:rPr>
              <w:t>READY</w:t>
            </w:r>
          </w:p>
        </w:tc>
        <w:tc>
          <w:tcPr>
            <w:tcW w:type="dxa" w:w="2448"/>
          </w:tcPr>
          <w:p>
            <w:pPr>
              <w:spacing w:after="20"/>
            </w:pPr>
            <w:r>
              <w:rPr>
                <w:color w:val="2E3B38"/>
                <w:sz w:val="18"/>
              </w:rPr>
              <w:t>Rebuilt. All figures recalculated on 80% of ARV.</w:t>
            </w:r>
          </w:p>
        </w:tc>
      </w:tr>
      <w:tr>
        <w:tc>
          <w:tcPr>
            <w:tcW w:type="dxa" w:w="2448"/>
            <w:shd w:val="clear" w:fill="F7F6F3"/>
          </w:tcPr>
          <w:p>
            <w:pPr>
              <w:spacing w:after="20"/>
            </w:pPr>
            <w:r>
              <w:rPr>
                <w:color w:val="2E3B38"/>
                <w:sz w:val="18"/>
              </w:rPr>
              <w:t>Capital Partner FAQ</w:t>
            </w:r>
          </w:p>
        </w:tc>
        <w:tc>
          <w:tcPr>
            <w:tcW w:type="dxa" w:w="2448"/>
            <w:shd w:val="clear" w:fill="F7F6F3"/>
          </w:tcPr>
          <w:p>
            <w:pPr>
              <w:spacing w:after="20"/>
            </w:pPr>
            <w:r>
              <w:rPr>
                <w:b/>
                <w:color w:val="1E3C36"/>
                <w:sz w:val="18"/>
              </w:rPr>
              <w:t>docx</w:t>
            </w:r>
            <w:r>
              <w:rPr>
                <w:color w:val="2E3B38"/>
                <w:sz w:val="18"/>
              </w:rPr>
              <w:t xml:space="preserve"> · pdf, 5 pages</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Rebuilt, 30 questions.</w:t>
            </w:r>
          </w:p>
        </w:tc>
      </w:tr>
    </w:tbl>
    <w:p>
      <w:pPr>
        <w:spacing w:after="80"/>
      </w:pPr>
    </w:p>
    <w:p>
      <w:pPr>
        <w:spacing w:after="120"/>
      </w:pPr>
      <w:r>
        <w:rPr>
          <w:i/>
          <w:color w:val="6B7A75"/>
          <w:sz w:val="21"/>
        </w:rPr>
        <w:t>All three previously carried the abandoned $235,000 loan formula. Every figure has been recalculated:</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r>
          </w:p>
        </w:tc>
        <w:tc>
          <w:tcPr>
            <w:tcW w:type="dxa" w:w="3264"/>
            <w:shd w:val="clear" w:fill="1E3C36"/>
          </w:tcPr>
          <w:p>
            <w:pPr>
              <w:spacing w:after="20"/>
            </w:pPr>
            <w:r>
              <w:rPr>
                <w:rFonts w:ascii="Century Gothic" w:hAnsi="Century Gothic"/>
                <w:b/>
                <w:color w:val="F0EADE"/>
                <w:sz w:val="15"/>
              </w:rPr>
              <w:t>WAS</w:t>
            </w:r>
          </w:p>
        </w:tc>
        <w:tc>
          <w:tcPr>
            <w:tcW w:type="dxa" w:w="3264"/>
            <w:shd w:val="clear" w:fill="1E3C36"/>
          </w:tcPr>
          <w:p>
            <w:pPr>
              <w:spacing w:after="20"/>
            </w:pPr>
            <w:r>
              <w:rPr>
                <w:rFonts w:ascii="Century Gothic" w:hAnsi="Century Gothic"/>
                <w:b/>
                <w:color w:val="F0EADE"/>
                <w:sz w:val="15"/>
              </w:rPr>
              <w:t>NOW</w:t>
            </w:r>
          </w:p>
        </w:tc>
      </w:tr>
      <w:tr>
        <w:tc>
          <w:tcPr>
            <w:tcW w:type="dxa" w:w="3264"/>
            <w:shd w:val="clear" w:fill="F7F6F3"/>
          </w:tcPr>
          <w:p>
            <w:pPr>
              <w:spacing w:after="20"/>
            </w:pPr>
            <w:r>
              <w:rPr>
                <w:color w:val="2E3B38"/>
                <w:sz w:val="18"/>
              </w:rPr>
              <w:t>Loan</w:t>
            </w:r>
          </w:p>
        </w:tc>
        <w:tc>
          <w:tcPr>
            <w:tcW w:type="dxa" w:w="3264"/>
            <w:shd w:val="clear" w:fill="F7F6F3"/>
          </w:tcPr>
          <w:p>
            <w:pPr>
              <w:spacing w:after="20"/>
            </w:pPr>
            <w:r>
              <w:rPr>
                <w:color w:val="2E3B38"/>
                <w:sz w:val="18"/>
              </w:rPr>
              <w:t>$235,000</w:t>
            </w:r>
          </w:p>
        </w:tc>
        <w:tc>
          <w:tcPr>
            <w:tcW w:type="dxa" w:w="3264"/>
            <w:shd w:val="clear" w:fill="F7F6F3"/>
          </w:tcPr>
          <w:p>
            <w:pPr>
              <w:spacing w:after="20"/>
            </w:pPr>
            <w:r>
              <w:rPr>
                <w:color w:val="2E3B38"/>
                <w:sz w:val="18"/>
              </w:rPr>
              <w:t>$256,000</w:t>
            </w:r>
          </w:p>
        </w:tc>
      </w:tr>
      <w:tr>
        <w:tc>
          <w:tcPr>
            <w:tcW w:type="dxa" w:w="3264"/>
          </w:tcPr>
          <w:p>
            <w:pPr>
              <w:spacing w:after="20"/>
            </w:pPr>
            <w:r>
              <w:rPr>
                <w:color w:val="2E3B38"/>
                <w:sz w:val="18"/>
              </w:rPr>
              <w:t>CP at 55%</w:t>
            </w:r>
          </w:p>
        </w:tc>
        <w:tc>
          <w:tcPr>
            <w:tcW w:type="dxa" w:w="3264"/>
          </w:tcPr>
          <w:p>
            <w:pPr>
              <w:spacing w:after="20"/>
            </w:pPr>
            <w:r>
              <w:rPr>
                <w:color w:val="2E3B38"/>
                <w:sz w:val="18"/>
              </w:rPr>
              <w:t>$129,250</w:t>
            </w:r>
          </w:p>
        </w:tc>
        <w:tc>
          <w:tcPr>
            <w:tcW w:type="dxa" w:w="3264"/>
          </w:tcPr>
          <w:p>
            <w:pPr>
              <w:spacing w:after="20"/>
            </w:pPr>
            <w:r>
              <w:rPr>
                <w:color w:val="2E3B38"/>
                <w:sz w:val="18"/>
              </w:rPr>
              <w:t>$140,800</w:t>
            </w:r>
          </w:p>
        </w:tc>
      </w:tr>
      <w:tr>
        <w:tc>
          <w:tcPr>
            <w:tcW w:type="dxa" w:w="3264"/>
            <w:shd w:val="clear" w:fill="F7F6F3"/>
          </w:tcPr>
          <w:p>
            <w:pPr>
              <w:spacing w:after="20"/>
            </w:pPr>
            <w:r>
              <w:rPr>
                <w:color w:val="2E3B38"/>
                <w:sz w:val="18"/>
              </w:rPr>
              <w:t>Lazy Dog</w:t>
            </w:r>
          </w:p>
        </w:tc>
        <w:tc>
          <w:tcPr>
            <w:tcW w:type="dxa" w:w="3264"/>
            <w:shd w:val="clear" w:fill="F7F6F3"/>
          </w:tcPr>
          <w:p>
            <w:pPr>
              <w:spacing w:after="20"/>
            </w:pPr>
            <w:r>
              <w:rPr>
                <w:color w:val="2E3B38"/>
                <w:sz w:val="18"/>
              </w:rPr>
              <w:t>$105,750</w:t>
            </w:r>
          </w:p>
        </w:tc>
        <w:tc>
          <w:tcPr>
            <w:tcW w:type="dxa" w:w="3264"/>
            <w:shd w:val="clear" w:fill="F7F6F3"/>
          </w:tcPr>
          <w:p>
            <w:pPr>
              <w:spacing w:after="20"/>
            </w:pPr>
            <w:r>
              <w:rPr>
                <w:color w:val="2E3B38"/>
                <w:sz w:val="18"/>
              </w:rPr>
              <w:t>$115,200</w:t>
            </w:r>
          </w:p>
        </w:tc>
      </w:tr>
      <w:tr>
        <w:tc>
          <w:tcPr>
            <w:tcW w:type="dxa" w:w="3264"/>
          </w:tcPr>
          <w:p>
            <w:pPr>
              <w:spacing w:after="20"/>
            </w:pPr>
            <w:r>
              <w:rPr>
                <w:color w:val="2E3B38"/>
                <w:sz w:val="18"/>
              </w:rPr>
              <w:t>Holdback</w:t>
            </w:r>
          </w:p>
        </w:tc>
        <w:tc>
          <w:tcPr>
            <w:tcW w:type="dxa" w:w="3264"/>
          </w:tcPr>
          <w:p>
            <w:pPr>
              <w:spacing w:after="20"/>
            </w:pPr>
            <w:r>
              <w:rPr>
                <w:color w:val="2E3B38"/>
                <w:sz w:val="18"/>
              </w:rPr>
              <w:t>$55,000</w:t>
            </w:r>
          </w:p>
        </w:tc>
        <w:tc>
          <w:tcPr>
            <w:tcW w:type="dxa" w:w="3264"/>
          </w:tcPr>
          <w:p>
            <w:pPr>
              <w:spacing w:after="20"/>
            </w:pPr>
            <w:r>
              <w:rPr>
                <w:color w:val="2E3B38"/>
                <w:sz w:val="18"/>
              </w:rPr>
              <w:t>$76,000</w:t>
            </w:r>
          </w:p>
        </w:tc>
      </w:tr>
      <w:tr>
        <w:tc>
          <w:tcPr>
            <w:tcW w:type="dxa" w:w="3264"/>
            <w:shd w:val="clear" w:fill="F7F6F3"/>
          </w:tcPr>
          <w:p>
            <w:pPr>
              <w:spacing w:after="20"/>
            </w:pPr>
            <w:r>
              <w:rPr>
                <w:color w:val="2E3B38"/>
                <w:sz w:val="18"/>
              </w:rPr>
              <w:t>Total capital</w:t>
            </w:r>
          </w:p>
        </w:tc>
        <w:tc>
          <w:tcPr>
            <w:tcW w:type="dxa" w:w="3264"/>
            <w:shd w:val="clear" w:fill="F7F6F3"/>
          </w:tcPr>
          <w:p>
            <w:pPr>
              <w:spacing w:after="20"/>
            </w:pPr>
            <w:r>
              <w:rPr>
                <w:color w:val="2E3B38"/>
                <w:sz w:val="18"/>
              </w:rPr>
              <w:t>$255,000</w:t>
            </w:r>
          </w:p>
        </w:tc>
        <w:tc>
          <w:tcPr>
            <w:tcW w:type="dxa" w:w="3264"/>
            <w:shd w:val="clear" w:fill="F7F6F3"/>
          </w:tcPr>
          <w:p>
            <w:pPr>
              <w:spacing w:after="20"/>
            </w:pPr>
            <w:r>
              <w:rPr>
                <w:color w:val="2E3B38"/>
                <w:sz w:val="18"/>
              </w:rPr>
              <w:t>$276,000</w:t>
            </w:r>
          </w:p>
        </w:tc>
      </w:tr>
      <w:tr>
        <w:tc>
          <w:tcPr>
            <w:tcW w:type="dxa" w:w="3264"/>
          </w:tcPr>
          <w:p>
            <w:pPr>
              <w:spacing w:after="20"/>
            </w:pPr>
            <w:r>
              <w:rPr>
                <w:color w:val="2E3B38"/>
                <w:sz w:val="18"/>
              </w:rPr>
              <w:t>CP monthly at 6.5%</w:t>
            </w:r>
          </w:p>
        </w:tc>
        <w:tc>
          <w:tcPr>
            <w:tcW w:type="dxa" w:w="3264"/>
          </w:tcPr>
          <w:p>
            <w:pPr>
              <w:spacing w:after="20"/>
            </w:pPr>
            <w:r>
              <w:rPr>
                <w:color w:val="2E3B38"/>
                <w:sz w:val="18"/>
              </w:rPr>
              <w:t>$700</w:t>
            </w:r>
          </w:p>
        </w:tc>
        <w:tc>
          <w:tcPr>
            <w:tcW w:type="dxa" w:w="3264"/>
          </w:tcPr>
          <w:p>
            <w:pPr>
              <w:spacing w:after="20"/>
            </w:pPr>
            <w:r>
              <w:rPr>
                <w:color w:val="2E3B38"/>
                <w:sz w:val="18"/>
              </w:rPr>
              <w:t>$763</w:t>
            </w:r>
          </w:p>
        </w:tc>
      </w:tr>
      <w:tr>
        <w:tc>
          <w:tcPr>
            <w:tcW w:type="dxa" w:w="3264"/>
            <w:shd w:val="clear" w:fill="F7F6F3"/>
          </w:tcPr>
          <w:p>
            <w:pPr>
              <w:spacing w:after="20"/>
            </w:pPr>
            <w:r>
              <w:rPr>
                <w:color w:val="2E3B38"/>
                <w:sz w:val="18"/>
              </w:rPr>
              <w:t>Cushion at closing</w:t>
            </w:r>
          </w:p>
        </w:tc>
        <w:tc>
          <w:tcPr>
            <w:tcW w:type="dxa" w:w="3264"/>
            <w:shd w:val="clear" w:fill="F7F6F3"/>
          </w:tcPr>
          <w:p>
            <w:pPr>
              <w:spacing w:after="20"/>
            </w:pPr>
            <w:r>
              <w:rPr>
                <w:color w:val="2E3B38"/>
                <w:sz w:val="18"/>
              </w:rPr>
              <w:t>$70,750</w:t>
            </w:r>
          </w:p>
        </w:tc>
        <w:tc>
          <w:tcPr>
            <w:tcW w:type="dxa" w:w="3264"/>
            <w:shd w:val="clear" w:fill="F7F6F3"/>
          </w:tcPr>
          <w:p>
            <w:pPr>
              <w:spacing w:after="20"/>
            </w:pPr>
            <w:r>
              <w:rPr>
                <w:color w:val="2E3B38"/>
                <w:sz w:val="18"/>
              </w:rPr>
              <w:t>$59,200</w:t>
            </w:r>
          </w:p>
        </w:tc>
      </w:tr>
      <w:tr>
        <w:tc>
          <w:tcPr>
            <w:tcW w:type="dxa" w:w="3264"/>
          </w:tcPr>
          <w:p>
            <w:pPr>
              <w:spacing w:after="20"/>
            </w:pPr>
            <w:r>
              <w:rPr>
                <w:color w:val="2E3B38"/>
                <w:sz w:val="18"/>
              </w:rPr>
              <w:t>Cushion at finish</w:t>
            </w:r>
          </w:p>
        </w:tc>
        <w:tc>
          <w:tcPr>
            <w:tcW w:type="dxa" w:w="3264"/>
          </w:tcPr>
          <w:p>
            <w:pPr>
              <w:spacing w:after="20"/>
            </w:pPr>
            <w:r>
              <w:rPr>
                <w:color w:val="2E3B38"/>
                <w:sz w:val="18"/>
              </w:rPr>
              <w:t>$189,750</w:t>
            </w:r>
          </w:p>
        </w:tc>
        <w:tc>
          <w:tcPr>
            <w:tcW w:type="dxa" w:w="3264"/>
          </w:tcPr>
          <w:p>
            <w:pPr>
              <w:spacing w:after="20"/>
            </w:pPr>
            <w:r>
              <w:rPr>
                <w:color w:val="2E3B38"/>
                <w:sz w:val="18"/>
              </w:rPr>
              <w:t>$179,200</w:t>
            </w:r>
          </w:p>
        </w:tc>
      </w:tr>
      <w:tr>
        <w:tc>
          <w:tcPr>
            <w:tcW w:type="dxa" w:w="3264"/>
            <w:shd w:val="clear" w:fill="F7F6F3"/>
          </w:tcPr>
          <w:p>
            <w:pPr>
              <w:spacing w:after="20"/>
            </w:pPr>
            <w:r>
              <w:rPr>
                <w:color w:val="2E3B38"/>
                <w:sz w:val="18"/>
              </w:rPr>
              <w:t>Breakeven</w:t>
            </w:r>
          </w:p>
        </w:tc>
        <w:tc>
          <w:tcPr>
            <w:tcW w:type="dxa" w:w="3264"/>
            <w:shd w:val="clear" w:fill="F7F6F3"/>
          </w:tcPr>
          <w:p>
            <w:pPr>
              <w:spacing w:after="20"/>
            </w:pPr>
            <w:r>
              <w:rPr>
                <w:color w:val="2E3B38"/>
                <w:sz w:val="18"/>
              </w:rPr>
              <w:t>$148,000</w:t>
            </w:r>
          </w:p>
        </w:tc>
        <w:tc>
          <w:tcPr>
            <w:tcW w:type="dxa" w:w="3264"/>
            <w:shd w:val="clear" w:fill="F7F6F3"/>
          </w:tcPr>
          <w:p>
            <w:pPr>
              <w:spacing w:after="20"/>
            </w:pPr>
            <w:r>
              <w:rPr>
                <w:color w:val="2E3B38"/>
                <w:sz w:val="18"/>
              </w:rPr>
              <w:t>$158,000</w:t>
            </w:r>
          </w:p>
        </w:tc>
      </w:tr>
    </w:tbl>
    <w:p>
      <w:pPr>
        <w:spacing w:after="80"/>
      </w:pPr>
    </w:p>
    <w:p>
      <w:pPr>
        <w:spacing w:after="120"/>
      </w:pPr>
      <w:r>
        <w:rPr>
          <w:i/>
          <w:color w:val="6B7A75"/>
          <w:sz w:val="21"/>
        </w:rPr>
        <w:t>Also corrected: draws now described as reimbursement with no draw limit; foreclosure extension runs until the property sells, with no three-month cap; year-end interest summary replaced with the 1099-INT; wire instructions cover both the pre-closing and post-closing paths.</w:t>
      </w:r>
    </w:p>
    <w:p>
      <w:pPr>
        <w:spacing w:after="120"/>
      </w:pPr>
      <w:r>
        <w:rPr>
          <w:i/>
          <w:color w:val="6B7A75"/>
          <w:sz w:val="21"/>
        </w:rPr>
        <w:t>Build scripts and trimmed logo artwork are in `_Reference/` — re-run to regenerate after any change.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05B — CAPITAL PARTNER DEAL OFFERING (PER DEAL, FUNDED AT CLOSING)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Deal offering email</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w:t>
            </w:r>
          </w:p>
        </w:tc>
      </w:tr>
      <w:tr>
        <w:tc>
          <w:tcPr>
            <w:tcW w:type="dxa" w:w="2448"/>
          </w:tcPr>
          <w:p>
            <w:pPr>
              <w:spacing w:after="20"/>
            </w:pPr>
            <w:r>
              <w:rPr>
                <w:color w:val="2E3B38"/>
                <w:sz w:val="18"/>
              </w:rPr>
              <w:t>Capital Partner Deal Summary</w:t>
            </w:r>
          </w:p>
        </w:tc>
        <w:tc>
          <w:tcPr>
            <w:tcW w:type="dxa" w:w="2448"/>
          </w:tcPr>
          <w:p>
            <w:pPr>
              <w:spacing w:after="20"/>
            </w:pPr>
            <w:r>
              <w:rPr>
                <w:color w:val="2E3B38"/>
                <w:sz w:val="18"/>
              </w:rPr>
              <w:t>md</w:t>
            </w:r>
          </w:p>
        </w:tc>
        <w:tc>
          <w:tcPr>
            <w:tcW w:type="dxa" w:w="2448"/>
          </w:tcPr>
          <w:p>
            <w:pPr>
              <w:spacing w:after="20"/>
            </w:pPr>
            <w:r>
              <w:rPr>
                <w:color w:val="2E3B38"/>
                <w:sz w:val="18"/>
              </w:rPr>
              <w:t>READY</w:t>
            </w:r>
          </w:p>
        </w:tc>
        <w:tc>
          <w:tcPr>
            <w:tcW w:type="dxa" w:w="2448"/>
          </w:tcPr>
          <w:p>
            <w:pPr>
              <w:spacing w:after="20"/>
            </w:pPr>
            <w:r>
              <w:rPr>
                <w:color w:val="2E3B38"/>
                <w:sz w:val="18"/>
              </w:rPr>
              <w:t>New this edition. Includes seasoned variant for 05C.</w:t>
            </w:r>
          </w:p>
        </w:tc>
      </w:tr>
      <w:tr>
        <w:tc>
          <w:tcPr>
            <w:tcW w:type="dxa" w:w="2448"/>
            <w:shd w:val="clear" w:fill="F7F6F3"/>
          </w:tcPr>
          <w:p>
            <w:pPr>
              <w:spacing w:after="20"/>
            </w:pPr>
            <w:r>
              <w:rPr>
                <w:color w:val="2E3B38"/>
                <w:sz w:val="18"/>
              </w:rPr>
              <w:t>Capital Partner Agreement — REVISED</w:t>
            </w:r>
          </w:p>
        </w:tc>
        <w:tc>
          <w:tcPr>
            <w:tcW w:type="dxa" w:w="2448"/>
            <w:shd w:val="clear" w:fill="F7F6F3"/>
          </w:tcPr>
          <w:p>
            <w:pPr>
              <w:spacing w:after="20"/>
            </w:pPr>
            <w:r>
              <w:rPr>
                <w:color w:val="2E3B38"/>
                <w:sz w:val="18"/>
              </w:rPr>
              <w:t>md</w:t>
            </w:r>
          </w:p>
        </w:tc>
        <w:tc>
          <w:tcPr>
            <w:tcW w:type="dxa" w:w="2448"/>
            <w:shd w:val="clear" w:fill="F7F6F3"/>
          </w:tcPr>
          <w:p>
            <w:pPr>
              <w:spacing w:after="20"/>
            </w:pPr>
            <w:r>
              <w:rPr>
                <w:b/>
                <w:color w:val="1E3C36"/>
                <w:sz w:val="18"/>
              </w:rPr>
              <w:t>ATTORNEY</w:t>
            </w:r>
          </w:p>
        </w:tc>
        <w:tc>
          <w:tcPr>
            <w:tcW w:type="dxa" w:w="2448"/>
            <w:shd w:val="clear" w:fill="F7F6F3"/>
          </w:tcPr>
          <w:p>
            <w:pPr>
              <w:spacing w:after="20"/>
            </w:pPr>
            <w:r>
              <w:rPr>
                <w:color w:val="2E3B38"/>
                <w:sz w:val="18"/>
              </w:rPr>
              <w:t>Securities review required.</w:t>
            </w:r>
          </w:p>
        </w:tc>
      </w:tr>
      <w:tr>
        <w:tc>
          <w:tcPr>
            <w:tcW w:type="dxa" w:w="2448"/>
          </w:tcPr>
          <w:p>
            <w:pPr>
              <w:spacing w:after="20"/>
            </w:pPr>
            <w:r>
              <w:rPr>
                <w:color w:val="2E3B38"/>
                <w:sz w:val="18"/>
              </w:rPr>
              <w:t>Wire Instructions Letter</w:t>
            </w:r>
          </w:p>
        </w:tc>
        <w:tc>
          <w:tcPr>
            <w:tcW w:type="dxa" w:w="2448"/>
          </w:tcPr>
          <w:p>
            <w:pPr>
              <w:spacing w:after="20"/>
            </w:pPr>
            <w:r>
              <w:rPr>
                <w:color w:val="2E3B38"/>
                <w:sz w:val="18"/>
              </w:rPr>
              <w:t>md</w:t>
            </w:r>
          </w:p>
        </w:tc>
        <w:tc>
          <w:tcPr>
            <w:tcW w:type="dxa" w:w="2448"/>
          </w:tcPr>
          <w:p>
            <w:pPr>
              <w:spacing w:after="20"/>
            </w:pPr>
            <w:r>
              <w:rPr>
                <w:color w:val="2E3B38"/>
                <w:sz w:val="18"/>
              </w:rPr>
              <w:t>READY</w:t>
            </w:r>
          </w:p>
        </w:tc>
        <w:tc>
          <w:tcPr>
            <w:tcW w:type="dxa" w:w="2448"/>
          </w:tcPr>
          <w:p>
            <w:pPr>
              <w:spacing w:after="20"/>
            </w:pPr>
            <w:r>
              <w:rPr>
                <w:color w:val="2E3B38"/>
                <w:sz w:val="18"/>
              </w:rPr>
              <w:t>New this edition.</w:t>
            </w:r>
          </w:p>
        </w:tc>
      </w:tr>
      <w:tr>
        <w:tc>
          <w:tcPr>
            <w:tcW w:type="dxa" w:w="2448"/>
            <w:shd w:val="clear" w:fill="F7F6F3"/>
          </w:tcPr>
          <w:p>
            <w:pPr>
              <w:spacing w:after="20"/>
            </w:pPr>
            <w:r>
              <w:rPr>
                <w:color w:val="2E3B38"/>
                <w:sz w:val="18"/>
              </w:rPr>
              <w:t>Collateral Assignment — REVISED</w:t>
            </w:r>
          </w:p>
        </w:tc>
        <w:tc>
          <w:tcPr>
            <w:tcW w:type="dxa" w:w="2448"/>
            <w:shd w:val="clear" w:fill="F7F6F3"/>
          </w:tcPr>
          <w:p>
            <w:pPr>
              <w:spacing w:after="20"/>
            </w:pPr>
            <w:r>
              <w:rPr>
                <w:color w:val="2E3B38"/>
                <w:sz w:val="18"/>
              </w:rPr>
              <w:t>md</w:t>
            </w:r>
          </w:p>
        </w:tc>
        <w:tc>
          <w:tcPr>
            <w:tcW w:type="dxa" w:w="2448"/>
            <w:shd w:val="clear" w:fill="F7F6F3"/>
          </w:tcPr>
          <w:p>
            <w:pPr>
              <w:spacing w:after="20"/>
            </w:pPr>
            <w:r>
              <w:rPr>
                <w:b/>
                <w:color w:val="1E3C36"/>
                <w:sz w:val="18"/>
              </w:rPr>
              <w:t>ATTORNEY</w:t>
            </w:r>
          </w:p>
        </w:tc>
        <w:tc>
          <w:tcPr>
            <w:tcW w:type="dxa" w:w="2448"/>
            <w:shd w:val="clear" w:fill="F7F6F3"/>
          </w:tcPr>
          <w:p>
            <w:pPr>
              <w:spacing w:after="20"/>
            </w:pPr>
            <w:r>
              <w:rPr>
                <w:color w:val="2E3B38"/>
                <w:sz w:val="18"/>
              </w:rPr>
              <w:t>Securities review required.</w:t>
            </w:r>
          </w:p>
        </w:tc>
      </w:tr>
    </w:tbl>
    <w:p>
      <w:pPr>
        <w:spacing w:after="80"/>
      </w:pPr>
    </w:p>
    <w:p>
      <w:pPr>
        <w:spacing w:after="120"/>
      </w:pPr>
      <w:r>
        <w:rPr>
          <w:i/>
          <w:color w:val="6B7A75"/>
          <w:sz w:val="21"/>
        </w:rPr>
        <w:t>Commitment is an email reply — no form.</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05C — POST-CLOSING ASSIGNMENT (SELF-FUNDED DEALS)</w:t>
      </w:r>
    </w:p>
    <w:p>
      <w:pPr>
        <w:spacing w:after="120"/>
      </w:pPr>
      <w:r>
        <w:rPr>
          <w:color w:val="2E3B38"/>
          <w:sz w:val="21"/>
        </w:rPr>
        <w:t>Same five documents as 05B, plus: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Recording Information Letter</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06 — PRE-CLOSING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Cleared to Close email</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 No dollar figures — points to the settlement statement.</w:t>
            </w:r>
          </w:p>
        </w:tc>
      </w:tr>
      <w:tr>
        <w:tc>
          <w:tcPr>
            <w:tcW w:type="dxa" w:w="2448"/>
          </w:tcPr>
          <w:p>
            <w:pPr>
              <w:spacing w:after="20"/>
            </w:pPr>
            <w:r>
              <w:rPr>
                <w:color w:val="2E3B38"/>
                <w:sz w:val="18"/>
              </w:rPr>
              <w:t>Closing Worksheet — Fillable</w:t>
            </w:r>
          </w:p>
        </w:tc>
        <w:tc>
          <w:tcPr>
            <w:tcW w:type="dxa" w:w="2448"/>
          </w:tcPr>
          <w:p>
            <w:pPr>
              <w:spacing w:after="20"/>
            </w:pPr>
            <w:r>
              <w:rPr>
                <w:color w:val="2E3B38"/>
                <w:sz w:val="18"/>
              </w:rPr>
              <w:t>pdf</w:t>
            </w:r>
          </w:p>
        </w:tc>
        <w:tc>
          <w:tcPr>
            <w:tcW w:type="dxa" w:w="2448"/>
          </w:tcPr>
          <w:p>
            <w:pPr>
              <w:spacing w:after="20"/>
            </w:pPr>
            <w:r>
              <w:rPr>
                <w:color w:val="2E3B38"/>
                <w:sz w:val="18"/>
              </w:rPr>
              <w:t>READY</w:t>
            </w:r>
          </w:p>
        </w:tc>
        <w:tc>
          <w:tcPr>
            <w:tcW w:type="dxa" w:w="2448"/>
          </w:tcPr>
          <w:p>
            <w:pPr>
              <w:spacing w:after="20"/>
            </w:pPr>
            <w:r>
              <w:rPr>
                <w:color w:val="2E3B38"/>
                <w:sz w:val="18"/>
              </w:rPr>
              <w:t>Rebuilt. 24 fields, up from 19.</w:t>
            </w:r>
          </w:p>
        </w:tc>
      </w:tr>
      <w:tr>
        <w:tc>
          <w:tcPr>
            <w:tcW w:type="dxa" w:w="2448"/>
            <w:shd w:val="clear" w:fill="F7F6F3"/>
          </w:tcPr>
          <w:p>
            <w:pPr>
              <w:spacing w:after="20"/>
            </w:pPr>
            <w:r>
              <w:rPr>
                <w:color w:val="2E3B38"/>
                <w:sz w:val="18"/>
              </w:rPr>
              <w:t>Closing Instructions to Title Company</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07 — CLOSING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Promissory Note</w:t>
            </w:r>
          </w:p>
        </w:tc>
        <w:tc>
          <w:tcPr>
            <w:tcW w:type="dxa" w:w="2448"/>
            <w:shd w:val="clear" w:fill="F7F6F3"/>
          </w:tcPr>
          <w:p>
            <w:pPr>
              <w:spacing w:after="20"/>
            </w:pPr>
            <w:r>
              <w:rPr>
                <w:color w:val="2E3B38"/>
                <w:sz w:val="18"/>
              </w:rPr>
              <w:t>docx · md · pdf</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9-month maturity · 3-month extension · actual/360 · late charge after the 10th.</w:t>
            </w:r>
          </w:p>
        </w:tc>
      </w:tr>
      <w:tr>
        <w:tc>
          <w:tcPr>
            <w:tcW w:type="dxa" w:w="2448"/>
          </w:tcPr>
          <w:p>
            <w:pPr>
              <w:spacing w:after="20"/>
            </w:pPr>
            <w:r>
              <w:rPr>
                <w:color w:val="2E3B38"/>
                <w:sz w:val="18"/>
              </w:rPr>
              <w:t>Deed of Trust</w:t>
            </w:r>
          </w:p>
        </w:tc>
        <w:tc>
          <w:tcPr>
            <w:tcW w:type="dxa" w:w="2448"/>
          </w:tcPr>
          <w:p>
            <w:pPr>
              <w:spacing w:after="20"/>
            </w:pPr>
            <w:r>
              <w:rPr>
                <w:color w:val="2E3B38"/>
                <w:sz w:val="18"/>
              </w:rPr>
              <w:t>docx · md · pdf</w:t>
            </w:r>
          </w:p>
        </w:tc>
        <w:tc>
          <w:tcPr>
            <w:tcW w:type="dxa" w:w="2448"/>
          </w:tcPr>
          <w:p>
            <w:pPr>
              <w:spacing w:after="20"/>
            </w:pPr>
            <w:r>
              <w:rPr>
                <w:b/>
                <w:color w:val="1E3C36"/>
                <w:sz w:val="18"/>
              </w:rPr>
              <w:t>ATTORNEY</w:t>
            </w:r>
          </w:p>
        </w:tc>
        <w:tc>
          <w:tcPr>
            <w:tcW w:type="dxa" w:w="2448"/>
          </w:tcPr>
          <w:p>
            <w:pPr>
              <w:spacing w:after="20"/>
            </w:pPr>
            <w:r>
              <w:rPr>
                <w:color w:val="2E3B38"/>
                <w:sz w:val="18"/>
              </w:rPr>
              <w:t>Unchanged this edition. Chapter 53 covenant still to be drafted.</w:t>
            </w:r>
          </w:p>
        </w:tc>
      </w:tr>
      <w:tr>
        <w:tc>
          <w:tcPr>
            <w:tcW w:type="dxa" w:w="2448"/>
            <w:shd w:val="clear" w:fill="F7F6F3"/>
          </w:tcPr>
          <w:p>
            <w:pPr>
              <w:spacing w:after="20"/>
            </w:pPr>
            <w:r>
              <w:rPr>
                <w:color w:val="2E3B38"/>
                <w:sz w:val="18"/>
              </w:rPr>
              <w:t>Personal Guarantee</w:t>
            </w:r>
          </w:p>
        </w:tc>
        <w:tc>
          <w:tcPr>
            <w:tcW w:type="dxa" w:w="2448"/>
            <w:shd w:val="clear" w:fill="F7F6F3"/>
          </w:tcPr>
          <w:p>
            <w:pPr>
              <w:spacing w:after="20"/>
            </w:pPr>
            <w:r>
              <w:rPr>
                <w:color w:val="2E3B38"/>
                <w:sz w:val="18"/>
              </w:rPr>
              <w:t>docx · md · pdf</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Renewal reference corrected to three months.</w:t>
            </w:r>
          </w:p>
        </w:tc>
      </w:tr>
      <w:tr>
        <w:tc>
          <w:tcPr>
            <w:tcW w:type="dxa" w:w="2448"/>
          </w:tcPr>
          <w:p>
            <w:pPr>
              <w:spacing w:after="20"/>
            </w:pPr>
            <w:r>
              <w:rPr>
                <w:color w:val="2E3B38"/>
                <w:sz w:val="18"/>
              </w:rPr>
              <w:t>Business Purpose &amp; Non-Homestead Affidavit</w:t>
            </w:r>
          </w:p>
        </w:tc>
        <w:tc>
          <w:tcPr>
            <w:tcW w:type="dxa" w:w="2448"/>
          </w:tcPr>
          <w:p>
            <w:pPr>
              <w:spacing w:after="20"/>
            </w:pPr>
            <w:r>
              <w:rPr>
                <w:color w:val="2E3B38"/>
                <w:sz w:val="18"/>
              </w:rPr>
              <w:t>docx · md · pdf</w:t>
            </w:r>
          </w:p>
        </w:tc>
        <w:tc>
          <w:tcPr>
            <w:tcW w:type="dxa" w:w="2448"/>
          </w:tcPr>
          <w:p>
            <w:pPr>
              <w:spacing w:after="20"/>
            </w:pPr>
            <w:r>
              <w:rPr>
                <w:color w:val="2E3B38"/>
                <w:sz w:val="18"/>
              </w:rPr>
              <w:t>READY</w:t>
            </w:r>
          </w:p>
        </w:tc>
        <w:tc>
          <w:tcPr>
            <w:tcW w:type="dxa" w:w="2448"/>
          </w:tcPr>
          <w:p>
            <w:pPr>
              <w:spacing w:after="20"/>
            </w:pPr>
            <w:r>
              <w:rPr>
                <w:color w:val="2E3B38"/>
                <w:sz w:val="18"/>
              </w:rPr>
              <w:t>No changes needed.</w:t>
            </w:r>
          </w:p>
        </w:tc>
      </w:tr>
      <w:tr>
        <w:tc>
          <w:tcPr>
            <w:tcW w:type="dxa" w:w="2448"/>
            <w:shd w:val="clear" w:fill="F7F6F3"/>
          </w:tcPr>
          <w:p>
            <w:pPr>
              <w:spacing w:after="20"/>
            </w:pPr>
            <w:r>
              <w:rPr>
                <w:color w:val="2E3B38"/>
                <w:sz w:val="18"/>
              </w:rPr>
              <w:t>Payment Instructions</w:t>
            </w:r>
          </w:p>
        </w:tc>
        <w:tc>
          <w:tcPr>
            <w:tcW w:type="dxa" w:w="2448"/>
            <w:shd w:val="clear" w:fill="F7F6F3"/>
          </w:tcPr>
          <w:p>
            <w:pPr>
              <w:spacing w:after="20"/>
            </w:pPr>
            <w:r>
              <w:rPr>
                <w:color w:val="2E3B38"/>
                <w:sz w:val="18"/>
              </w:rPr>
              <w:t>docx · md · pdf</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Was "ACH Authorization." No debit authority.</w:t>
            </w:r>
          </w:p>
        </w:tc>
      </w:tr>
      <w:tr>
        <w:tc>
          <w:tcPr>
            <w:tcW w:type="dxa" w:w="2448"/>
          </w:tcPr>
          <w:p>
            <w:pPr>
              <w:spacing w:after="20"/>
            </w:pPr>
            <w:r>
              <w:rPr>
                <w:color w:val="2E3B38"/>
                <w:sz w:val="18"/>
              </w:rPr>
              <w:t>Loan Proposal</w:t>
            </w:r>
          </w:p>
        </w:tc>
        <w:tc>
          <w:tcPr>
            <w:tcW w:type="dxa" w:w="2448"/>
          </w:tcPr>
          <w:p>
            <w:pPr>
              <w:spacing w:after="20"/>
            </w:pPr>
            <w:r>
              <w:rPr>
                <w:color w:val="2E3B38"/>
                <w:sz w:val="18"/>
              </w:rPr>
              <w:t>docx · md · pdf</w:t>
            </w:r>
          </w:p>
        </w:tc>
        <w:tc>
          <w:tcPr>
            <w:tcW w:type="dxa" w:w="2448"/>
          </w:tcPr>
          <w:p>
            <w:pPr>
              <w:spacing w:after="20"/>
            </w:pPr>
            <w:r>
              <w:rPr>
                <w:color w:val="2E3B38"/>
                <w:sz w:val="18"/>
              </w:rPr>
              <w:t>READY</w:t>
            </w:r>
          </w:p>
        </w:tc>
        <w:tc>
          <w:tcPr>
            <w:tcW w:type="dxa" w:w="2448"/>
          </w:tcPr>
          <w:p>
            <w:pPr>
              <w:spacing w:after="20"/>
            </w:pPr>
            <w:r>
              <w:rPr>
                <w:color w:val="2E3B38"/>
                <w:sz w:val="18"/>
              </w:rPr>
              <w:t>Duplicate of 01.</w:t>
            </w:r>
          </w:p>
        </w:tc>
      </w:tr>
      <w:tr>
        <w:tc>
          <w:tcPr>
            <w:tcW w:type="dxa" w:w="2448"/>
            <w:shd w:val="clear" w:fill="F7F6F3"/>
          </w:tcPr>
          <w:p>
            <w:pPr>
              <w:spacing w:after="20"/>
            </w:pPr>
            <w:r>
              <w:rPr>
                <w:color w:val="2E3B38"/>
                <w:sz w:val="18"/>
              </w:rPr>
              <w:t>Collateral Assignment — REVISED</w:t>
            </w:r>
          </w:p>
        </w:tc>
        <w:tc>
          <w:tcPr>
            <w:tcW w:type="dxa" w:w="2448"/>
            <w:shd w:val="clear" w:fill="F7F6F3"/>
          </w:tcPr>
          <w:p>
            <w:pPr>
              <w:spacing w:after="20"/>
            </w:pPr>
            <w:r>
              <w:rPr>
                <w:color w:val="2E3B38"/>
                <w:sz w:val="18"/>
              </w:rPr>
              <w:t>md</w:t>
            </w:r>
          </w:p>
        </w:tc>
        <w:tc>
          <w:tcPr>
            <w:tcW w:type="dxa" w:w="2448"/>
            <w:shd w:val="clear" w:fill="F7F6F3"/>
          </w:tcPr>
          <w:p>
            <w:pPr>
              <w:spacing w:after="20"/>
            </w:pPr>
            <w:r>
              <w:rPr>
                <w:b/>
                <w:color w:val="1E3C36"/>
                <w:sz w:val="18"/>
              </w:rPr>
              <w:t>ATTORNEY</w:t>
            </w:r>
          </w:p>
        </w:tc>
        <w:tc>
          <w:tcPr>
            <w:tcW w:type="dxa" w:w="2448"/>
            <w:shd w:val="clear" w:fill="F7F6F3"/>
          </w:tcPr>
          <w:p>
            <w:pPr>
              <w:spacing w:after="20"/>
            </w:pPr>
            <w:r>
              <w:rPr>
                <w:color w:val="2E3B38"/>
                <w:sz w:val="18"/>
              </w:rPr>
              <w:t>Duplicate of 05B.</w:t>
            </w:r>
          </w:p>
        </w:tc>
      </w:tr>
      <w:tr>
        <w:tc>
          <w:tcPr>
            <w:tcW w:type="dxa" w:w="2448"/>
          </w:tcPr>
          <w:p>
            <w:pPr>
              <w:spacing w:after="20"/>
            </w:pPr>
            <w:r>
              <w:rPr>
                <w:color w:val="2E3B38"/>
                <w:sz w:val="18"/>
              </w:rPr>
              <w:t>Closing Instructions</w:t>
            </w:r>
          </w:p>
        </w:tc>
        <w:tc>
          <w:tcPr>
            <w:tcW w:type="dxa" w:w="2448"/>
          </w:tcPr>
          <w:p>
            <w:pPr>
              <w:spacing w:after="20"/>
            </w:pPr>
            <w:r>
              <w:rPr>
                <w:color w:val="2E3B38"/>
                <w:sz w:val="18"/>
              </w:rPr>
              <w:t>md</w:t>
            </w:r>
          </w:p>
        </w:tc>
        <w:tc>
          <w:tcPr>
            <w:tcW w:type="dxa" w:w="2448"/>
          </w:tcPr>
          <w:p>
            <w:pPr>
              <w:spacing w:after="20"/>
            </w:pPr>
            <w:r>
              <w:rPr>
                <w:color w:val="2E3B38"/>
                <w:sz w:val="18"/>
              </w:rPr>
              <w:t>READY</w:t>
            </w:r>
          </w:p>
        </w:tc>
        <w:tc>
          <w:tcPr>
            <w:tcW w:type="dxa" w:w="2448"/>
          </w:tcPr>
          <w:p>
            <w:pPr>
              <w:spacing w:after="20"/>
            </w:pPr>
            <w:r>
              <w:rPr>
                <w:color w:val="2E3B38"/>
                <w:sz w:val="18"/>
              </w:rPr>
              <w:t>Duplicate of 06.</w:t>
            </w:r>
          </w:p>
        </w:tc>
      </w:tr>
      <w:tr>
        <w:tc>
          <w:tcPr>
            <w:tcW w:type="dxa" w:w="2448"/>
            <w:shd w:val="clear" w:fill="F7F6F3"/>
          </w:tcPr>
          <w:p>
            <w:pPr>
              <w:spacing w:after="20"/>
            </w:pPr>
            <w:r>
              <w:rPr>
                <w:color w:val="2E3B38"/>
                <w:sz w:val="18"/>
              </w:rPr>
              <w:t>IRS Form W-9</w:t>
            </w:r>
          </w:p>
        </w:tc>
        <w:tc>
          <w:tcPr>
            <w:tcW w:type="dxa" w:w="2448"/>
            <w:shd w:val="clear" w:fill="F7F6F3"/>
          </w:tcPr>
          <w:p>
            <w:pPr>
              <w:spacing w:after="20"/>
            </w:pPr>
            <w:r>
              <w:rPr>
                <w:color w:val="2E3B38"/>
                <w:sz w:val="18"/>
              </w:rPr>
              <w:t>pdf</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Entity and each guarantor.</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08 — POST-CLOSING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Welcome email</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w:t>
            </w:r>
          </w:p>
        </w:tc>
      </w:tr>
      <w:tr>
        <w:tc>
          <w:tcPr>
            <w:tcW w:type="dxa" w:w="2448"/>
          </w:tcPr>
          <w:p>
            <w:pPr>
              <w:spacing w:after="20"/>
            </w:pPr>
            <w:r>
              <w:rPr>
                <w:color w:val="2E3B38"/>
                <w:sz w:val="18"/>
              </w:rPr>
              <w:t>Recording Information Letter</w:t>
            </w:r>
          </w:p>
        </w:tc>
        <w:tc>
          <w:tcPr>
            <w:tcW w:type="dxa" w:w="2448"/>
          </w:tcPr>
          <w:p>
            <w:pPr>
              <w:spacing w:after="20"/>
            </w:pPr>
            <w:r>
              <w:rPr>
                <w:color w:val="2E3B38"/>
                <w:sz w:val="18"/>
              </w:rPr>
              <w:t>md</w:t>
            </w:r>
          </w:p>
        </w:tc>
        <w:tc>
          <w:tcPr>
            <w:tcW w:type="dxa" w:w="2448"/>
          </w:tcPr>
          <w:p>
            <w:pPr>
              <w:spacing w:after="20"/>
            </w:pPr>
            <w:r>
              <w:rPr>
                <w:color w:val="2E3B38"/>
                <w:sz w:val="18"/>
              </w:rPr>
              <w:t>READY</w:t>
            </w:r>
          </w:p>
        </w:tc>
        <w:tc>
          <w:tcPr>
            <w:tcW w:type="dxa" w:w="2448"/>
          </w:tcPr>
          <w:p>
            <w:pPr>
              <w:spacing w:after="20"/>
            </w:pPr>
            <w:r>
              <w:rPr>
                <w:color w:val="2E3B38"/>
                <w:sz w:val="18"/>
              </w:rPr>
              <w:t>Duplicate of 05C.</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09 — SERVICING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Draw Inspection Report</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 One page, filled on site.</w:t>
            </w:r>
          </w:p>
        </w:tc>
      </w:tr>
      <w:tr>
        <w:tc>
          <w:tcPr>
            <w:tcW w:type="dxa" w:w="2448"/>
          </w:tcPr>
          <w:p>
            <w:pPr>
              <w:spacing w:after="20"/>
            </w:pPr>
            <w:r>
              <w:rPr>
                <w:color w:val="2E3B38"/>
                <w:sz w:val="18"/>
              </w:rPr>
              <w:t>Renewal &amp; Extension Agreement</w:t>
            </w:r>
          </w:p>
        </w:tc>
        <w:tc>
          <w:tcPr>
            <w:tcW w:type="dxa" w:w="2448"/>
          </w:tcPr>
          <w:p>
            <w:pPr>
              <w:spacing w:after="20"/>
            </w:pPr>
            <w:r>
              <w:rPr>
                <w:color w:val="2E3B38"/>
                <w:sz w:val="18"/>
              </w:rPr>
              <w:t>md</w:t>
            </w:r>
          </w:p>
        </w:tc>
        <w:tc>
          <w:tcPr>
            <w:tcW w:type="dxa" w:w="2448"/>
          </w:tcPr>
          <w:p>
            <w:pPr>
              <w:spacing w:after="20"/>
            </w:pPr>
            <w:r>
              <w:rPr>
                <w:color w:val="2E3B38"/>
                <w:sz w:val="18"/>
              </w:rPr>
              <w:t>READY</w:t>
            </w:r>
          </w:p>
        </w:tc>
        <w:tc>
          <w:tcPr>
            <w:tcW w:type="dxa" w:w="2448"/>
          </w:tcPr>
          <w:p>
            <w:pPr>
              <w:spacing w:after="20"/>
            </w:pPr>
            <w:r>
              <w:rPr>
                <w:color w:val="2E3B38"/>
                <w:sz w:val="18"/>
              </w:rPr>
              <w:t>New this edition. Guarantor reaffirmation is the point.</w:t>
            </w:r>
          </w:p>
        </w:tc>
      </w:tr>
      <w:tr>
        <w:tc>
          <w:tcPr>
            <w:tcW w:type="dxa" w:w="2448"/>
            <w:shd w:val="clear" w:fill="F7F6F3"/>
          </w:tcPr>
          <w:p>
            <w:pPr>
              <w:spacing w:after="20"/>
            </w:pPr>
            <w:r>
              <w:rPr>
                <w:color w:val="2E3B38"/>
                <w:sz w:val="18"/>
              </w:rPr>
              <w:t>Maturity Reminder email</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 Sent at 60 and 30 days.</w:t>
            </w:r>
          </w:p>
        </w:tc>
      </w:tr>
    </w:tbl>
    <w:p>
      <w:pPr>
        <w:spacing w:after="80"/>
      </w:pPr>
    </w:p>
    <w:p>
      <w:pPr>
        <w:spacing w:after="120"/>
      </w:pPr>
      <w:r>
        <w:rPr>
          <w:i/>
          <w:color w:val="6B7A75"/>
          <w:sz w:val="21"/>
        </w:rPr>
        <w:t>Draw requests are submitted at lazydogcapital.com/resources/draw-request. The fillable PDF is retired.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10A — DEFAULT NOTICES (BOTH PATHS)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Notice of Default and Opportunity to Cure</w:t>
            </w:r>
          </w:p>
        </w:tc>
        <w:tc>
          <w:tcPr>
            <w:tcW w:type="dxa" w:w="2448"/>
            <w:shd w:val="clear" w:fill="F7F6F3"/>
          </w:tcPr>
          <w:p>
            <w:pPr>
              <w:spacing w:after="20"/>
            </w:pPr>
            <w:r>
              <w:rPr>
                <w:color w:val="2E3B38"/>
                <w:sz w:val="18"/>
              </w:rPr>
              <w:t>docx · md · pdf</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Late charge trigger updated to the 10th day.</w:t>
            </w:r>
          </w:p>
        </w:tc>
      </w:tr>
      <w:tr>
        <w:tc>
          <w:tcPr>
            <w:tcW w:type="dxa" w:w="2448"/>
          </w:tcPr>
          <w:p>
            <w:pPr>
              <w:spacing w:after="20"/>
            </w:pPr>
            <w:r>
              <w:rPr>
                <w:color w:val="2E3B38"/>
                <w:sz w:val="18"/>
              </w:rPr>
              <w:t>Notice of Acceleration</w:t>
            </w:r>
          </w:p>
        </w:tc>
        <w:tc>
          <w:tcPr>
            <w:tcW w:type="dxa" w:w="2448"/>
          </w:tcPr>
          <w:p>
            <w:pPr>
              <w:spacing w:after="20"/>
            </w:pPr>
            <w:r>
              <w:rPr>
                <w:color w:val="2E3B38"/>
                <w:sz w:val="18"/>
              </w:rPr>
              <w:t>md</w:t>
            </w:r>
          </w:p>
        </w:tc>
        <w:tc>
          <w:tcPr>
            <w:tcW w:type="dxa" w:w="2448"/>
          </w:tcPr>
          <w:p>
            <w:pPr>
              <w:spacing w:after="20"/>
            </w:pPr>
            <w:r>
              <w:rPr>
                <w:color w:val="2E3B38"/>
                <w:sz w:val="18"/>
              </w:rPr>
              <w:t>READY</w:t>
            </w:r>
          </w:p>
        </w:tc>
        <w:tc>
          <w:tcPr>
            <w:tcW w:type="dxa" w:w="2448"/>
          </w:tcPr>
          <w:p>
            <w:pPr>
              <w:spacing w:after="20"/>
            </w:pPr>
            <w:r>
              <w:rPr>
                <w:color w:val="2E3B38"/>
                <w:sz w:val="18"/>
              </w:rPr>
              <w:t>New this edition. Both Managers sign.</w:t>
            </w:r>
          </w:p>
        </w:tc>
      </w:tr>
      <w:tr>
        <w:tc>
          <w:tcPr>
            <w:tcW w:type="dxa" w:w="2448"/>
            <w:shd w:val="clear" w:fill="F7F6F3"/>
          </w:tcPr>
          <w:p>
            <w:pPr>
              <w:spacing w:after="20"/>
            </w:pPr>
            <w:r>
              <w:rPr>
                <w:color w:val="2E3B38"/>
                <w:sz w:val="18"/>
              </w:rPr>
              <w:t>Capital Partner default notification</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10B — FORECLOSURE (THE DEFAULT PATH)</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Credit Bid Worksheet</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 Flags the § 51.003 deficiency issue.</w:t>
            </w:r>
          </w:p>
        </w:tc>
      </w:tr>
      <w:tr>
        <w:tc>
          <w:tcPr>
            <w:tcW w:type="dxa" w:w="2448"/>
          </w:tcPr>
          <w:p>
            <w:pPr>
              <w:spacing w:after="20"/>
            </w:pPr>
            <w:r>
              <w:rPr>
                <w:color w:val="2E3B38"/>
                <w:sz w:val="18"/>
              </w:rPr>
              <w:t>Capital Partner post-sale accounting</w:t>
            </w:r>
          </w:p>
        </w:tc>
        <w:tc>
          <w:tcPr>
            <w:tcW w:type="dxa" w:w="2448"/>
          </w:tcPr>
          <w:p>
            <w:pPr>
              <w:spacing w:after="20"/>
            </w:pPr>
            <w:r>
              <w:rPr>
                <w:color w:val="2E3B38"/>
                <w:sz w:val="18"/>
              </w:rPr>
              <w:t>md</w:t>
            </w:r>
          </w:p>
        </w:tc>
        <w:tc>
          <w:tcPr>
            <w:tcW w:type="dxa" w:w="2448"/>
          </w:tcPr>
          <w:p>
            <w:pPr>
              <w:spacing w:after="20"/>
            </w:pPr>
            <w:r>
              <w:rPr>
                <w:color w:val="2E3B38"/>
                <w:sz w:val="18"/>
              </w:rPr>
              <w:t>READY</w:t>
            </w:r>
          </w:p>
        </w:tc>
        <w:tc>
          <w:tcPr>
            <w:tcW w:type="dxa" w:w="2448"/>
          </w:tcPr>
          <w:p>
            <w:pPr>
              <w:spacing w:after="20"/>
            </w:pPr>
            <w:r>
              <w:rPr>
                <w:color w:val="2E3B38"/>
                <w:sz w:val="18"/>
              </w:rPr>
              <w:t>New this edition.</w:t>
            </w:r>
          </w:p>
        </w:tc>
      </w:tr>
    </w:tbl>
    <w:p>
      <w:pPr>
        <w:spacing w:after="80"/>
      </w:pPr>
    </w:p>
    <w:p>
      <w:pPr>
        <w:spacing w:after="120"/>
      </w:pPr>
      <w:r>
        <w:rPr>
          <w:i/>
          <w:color w:val="6B7A75"/>
          <w:sz w:val="21"/>
        </w:rPr>
        <w:t>Notice of Trustee's Sale and Trustee's Deed are attorney/trustee-prepared.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10C — DEED IN LIEU (EXCEPTION PATH)</w:t>
      </w:r>
    </w:p>
    <w:p>
      <w:pPr>
        <w:spacing w:before="180" w:after="60"/>
      </w:pPr>
      <w:r>
        <w:rPr>
          <w:rFonts w:ascii="Century Gothic" w:hAnsi="Century Gothic"/>
          <w:b/>
          <w:color w:val="1E3C36"/>
          <w:sz w:val="21"/>
        </w:rPr>
        <w:t>Internal — never sent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Deed in Lieu Acceptance Checklist</w:t>
            </w:r>
          </w:p>
        </w:tc>
        <w:tc>
          <w:tcPr>
            <w:tcW w:type="dxa" w:w="2448"/>
            <w:shd w:val="clear" w:fill="F7F6F3"/>
          </w:tcPr>
          <w:p>
            <w:pPr>
              <w:spacing w:after="20"/>
            </w:pPr>
            <w:r>
              <w:rPr>
                <w:color w:val="2E3B38"/>
                <w:sz w:val="18"/>
              </w:rPr>
              <w:t>md</w:t>
            </w:r>
          </w:p>
        </w:tc>
        <w:tc>
          <w:tcPr>
            <w:tcW w:type="dxa" w:w="2448"/>
            <w:shd w:val="clear" w:fill="F7F6F3"/>
          </w:tcPr>
          <w:p>
            <w:pPr>
              <w:spacing w:after="20"/>
            </w:pPr>
            <w:r>
              <w:rPr>
                <w:b/>
                <w:color w:val="1E3C36"/>
                <w:sz w:val="18"/>
              </w:rPr>
              <w:t>ATTORNEY</w:t>
            </w:r>
          </w:p>
        </w:tc>
        <w:tc>
          <w:tcPr>
            <w:tcW w:type="dxa" w:w="2448"/>
            <w:shd w:val="clear" w:fill="F7F6F3"/>
          </w:tcPr>
          <w:p>
            <w:pPr>
              <w:spacing w:after="20"/>
            </w:pPr>
            <w:r>
              <w:rPr>
                <w:color w:val="2E3B38"/>
                <w:sz w:val="18"/>
              </w:rPr>
              <w:t>Six hard stops. Decides which path a deal takes.</w:t>
            </w:r>
          </w:p>
        </w:tc>
      </w:tr>
      <w:tr>
        <w:tc>
          <w:tcPr>
            <w:tcW w:type="dxa" w:w="2448"/>
          </w:tcPr>
          <w:p>
            <w:pPr>
              <w:spacing w:after="20"/>
            </w:pPr>
            <w:r>
              <w:rPr>
                <w:color w:val="2E3B38"/>
                <w:sz w:val="18"/>
              </w:rPr>
              <w:t>Workout Worksheet</w:t>
            </w:r>
          </w:p>
        </w:tc>
        <w:tc>
          <w:tcPr>
            <w:tcW w:type="dxa" w:w="2448"/>
          </w:tcPr>
          <w:p>
            <w:pPr>
              <w:spacing w:after="20"/>
            </w:pPr>
            <w:r>
              <w:rPr>
                <w:color w:val="2E3B38"/>
                <w:sz w:val="18"/>
              </w:rPr>
              <w:t>md</w:t>
            </w:r>
          </w:p>
        </w:tc>
        <w:tc>
          <w:tcPr>
            <w:tcW w:type="dxa" w:w="2448"/>
          </w:tcPr>
          <w:p>
            <w:pPr>
              <w:spacing w:after="20"/>
            </w:pPr>
            <w:r>
              <w:rPr>
                <w:b/>
                <w:color w:val="1E3C36"/>
                <w:sz w:val="18"/>
              </w:rPr>
              <w:t>ATTORNEY</w:t>
            </w:r>
          </w:p>
        </w:tc>
        <w:tc>
          <w:tcPr>
            <w:tcW w:type="dxa" w:w="2448"/>
          </w:tcPr>
          <w:p>
            <w:pPr>
              <w:spacing w:after="20"/>
            </w:pPr>
            <w:r>
              <w:rPr>
                <w:color w:val="2E3B38"/>
                <w:sz w:val="18"/>
              </w:rPr>
              <w:t>Token source for the packet.</w:t>
            </w:r>
          </w:p>
        </w:tc>
      </w:tr>
      <w:tr>
        <w:tc>
          <w:tcPr>
            <w:tcW w:type="dxa" w:w="2448"/>
            <w:shd w:val="clear" w:fill="F7F6F3"/>
          </w:tcPr>
          <w:p>
            <w:pPr>
              <w:spacing w:after="20"/>
            </w:pPr>
            <w:r>
              <w:rPr>
                <w:color w:val="2E3B38"/>
                <w:sz w:val="18"/>
              </w:rPr>
              <w:t>CP Deed in Lieu Consent &amp; Conveyance Notice</w:t>
            </w:r>
          </w:p>
        </w:tc>
        <w:tc>
          <w:tcPr>
            <w:tcW w:type="dxa" w:w="2448"/>
            <w:shd w:val="clear" w:fill="F7F6F3"/>
          </w:tcPr>
          <w:p>
            <w:pPr>
              <w:spacing w:after="20"/>
            </w:pPr>
            <w:r>
              <w:rPr>
                <w:color w:val="2E3B38"/>
                <w:sz w:val="18"/>
              </w:rPr>
              <w:t>md</w:t>
            </w:r>
          </w:p>
        </w:tc>
        <w:tc>
          <w:tcPr>
            <w:tcW w:type="dxa" w:w="2448"/>
            <w:shd w:val="clear" w:fill="F7F6F3"/>
          </w:tcPr>
          <w:p>
            <w:pPr>
              <w:spacing w:after="20"/>
            </w:pPr>
            <w:r>
              <w:rPr>
                <w:b/>
                <w:color w:val="1E3C36"/>
                <w:sz w:val="18"/>
              </w:rPr>
              <w:t>ATTORNEY</w:t>
            </w:r>
          </w:p>
        </w:tc>
        <w:tc>
          <w:tcPr>
            <w:tcW w:type="dxa" w:w="2448"/>
            <w:shd w:val="clear" w:fill="F7F6F3"/>
          </w:tcPr>
          <w:p>
            <w:pPr>
              <w:spacing w:after="20"/>
            </w:pPr>
            <w:r>
              <w:rPr>
                <w:color w:val="2E3B38"/>
                <w:sz w:val="18"/>
              </w:rPr>
              <w:t>Consent required under Collateral Assignment § 5(b).</w:t>
            </w:r>
          </w:p>
        </w:tc>
      </w:tr>
      <w:tr>
        <w:tc>
          <w:tcPr>
            <w:tcW w:type="dxa" w:w="2448"/>
          </w:tcPr>
          <w:p>
            <w:pPr>
              <w:spacing w:after="20"/>
            </w:pPr>
            <w:r>
              <w:rPr>
                <w:color w:val="2E3B38"/>
                <w:sz w:val="18"/>
              </w:rPr>
              <w:t>Conditional Deed in Lieu Agreement</w:t>
            </w:r>
          </w:p>
        </w:tc>
        <w:tc>
          <w:tcPr>
            <w:tcW w:type="dxa" w:w="2448"/>
          </w:tcPr>
          <w:p>
            <w:pPr>
              <w:spacing w:after="20"/>
            </w:pPr>
            <w:r>
              <w:rPr>
                <w:color w:val="2E3B38"/>
                <w:sz w:val="18"/>
              </w:rPr>
              <w:t>md</w:t>
            </w:r>
          </w:p>
        </w:tc>
        <w:tc>
          <w:tcPr>
            <w:tcW w:type="dxa" w:w="2448"/>
          </w:tcPr>
          <w:p>
            <w:pPr>
              <w:spacing w:after="20"/>
            </w:pPr>
            <w:r>
              <w:rPr>
                <w:b/>
                <w:color w:val="1E3C36"/>
                <w:sz w:val="18"/>
              </w:rPr>
              <w:t>ABANDONED</w:t>
            </w:r>
          </w:p>
        </w:tc>
        <w:tc>
          <w:tcPr>
            <w:tcW w:type="dxa" w:w="2448"/>
          </w:tcPr>
          <w:p>
            <w:pPr>
              <w:spacing w:after="20"/>
            </w:pPr>
            <w:r>
              <w:rPr>
                <w:color w:val="2E3B38"/>
                <w:sz w:val="18"/>
              </w:rPr>
              <w:t>Sign-at-closing approach, rejected. Retained for attorney context only.</w:t>
            </w:r>
          </w:p>
        </w:tc>
      </w:tr>
      <w:tr>
        <w:tc>
          <w:tcPr>
            <w:tcW w:type="dxa" w:w="2448"/>
            <w:shd w:val="clear" w:fill="F7F6F3"/>
          </w:tcPr>
          <w:p>
            <w:pPr>
              <w:spacing w:after="20"/>
            </w:pPr>
            <w:r>
              <w:rPr>
                <w:color w:val="2E3B38"/>
                <w:sz w:val="18"/>
              </w:rPr>
              <w:t>Handoff brief</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Context document.</w:t>
            </w:r>
          </w:p>
        </w:tc>
      </w:tr>
    </w:tbl>
    <w:p>
      <w:pPr>
        <w:spacing w:after="80"/>
      </w:pPr>
    </w:p>
    <w:p>
      <w:pPr>
        <w:spacing w:before="180" w:after="60"/>
      </w:pPr>
      <w:r>
        <w:rPr>
          <w:rFonts w:ascii="Century Gothic" w:hAnsi="Century Gothic"/>
          <w:b/>
          <w:color w:val="1E3C36"/>
          <w:sz w:val="21"/>
        </w:rPr>
        <w:t>Sent to borrower</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Cover letter — deed in lieu offer</w:t>
            </w:r>
          </w:p>
        </w:tc>
        <w:tc>
          <w:tcPr>
            <w:tcW w:type="dxa" w:w="2448"/>
            <w:shd w:val="clear" w:fill="F7F6F3"/>
          </w:tcPr>
          <w:p>
            <w:pPr>
              <w:spacing w:after="20"/>
            </w:pPr>
            <w:r>
              <w:rPr>
                <w:color w:val="2E3B38"/>
                <w:sz w:val="18"/>
              </w:rPr>
              <w:t>md</w:t>
            </w:r>
          </w:p>
        </w:tc>
        <w:tc>
          <w:tcPr>
            <w:tcW w:type="dxa" w:w="2448"/>
            <w:shd w:val="clear" w:fill="F7F6F3"/>
          </w:tcPr>
          <w:p>
            <w:pPr>
              <w:spacing w:after="20"/>
            </w:pPr>
            <w:r>
              <w:rPr>
                <w:b/>
                <w:color w:val="1E3C36"/>
                <w:sz w:val="18"/>
              </w:rPr>
              <w:t>ATTORNEY</w:t>
            </w:r>
          </w:p>
        </w:tc>
        <w:tc>
          <w:tcPr>
            <w:tcW w:type="dxa" w:w="2448"/>
            <w:shd w:val="clear" w:fill="F7F6F3"/>
          </w:tcPr>
          <w:p>
            <w:pPr>
              <w:spacing w:after="20"/>
            </w:pPr>
          </w:p>
        </w:tc>
      </w:tr>
      <w:tr>
        <w:tc>
          <w:tcPr>
            <w:tcW w:type="dxa" w:w="2448"/>
          </w:tcPr>
          <w:p>
            <w:pPr>
              <w:spacing w:after="20"/>
            </w:pPr>
            <w:r>
              <w:rPr>
                <w:color w:val="2E3B38"/>
                <w:sz w:val="18"/>
              </w:rPr>
              <w:t>Itemized Statement of Total Debt</w:t>
            </w:r>
          </w:p>
        </w:tc>
        <w:tc>
          <w:tcPr>
            <w:tcW w:type="dxa" w:w="2448"/>
          </w:tcPr>
          <w:p>
            <w:pPr>
              <w:spacing w:after="20"/>
            </w:pPr>
            <w:r>
              <w:rPr>
                <w:color w:val="2E3B38"/>
                <w:sz w:val="18"/>
              </w:rPr>
              <w:t>md</w:t>
            </w:r>
          </w:p>
        </w:tc>
        <w:tc>
          <w:tcPr>
            <w:tcW w:type="dxa" w:w="2448"/>
          </w:tcPr>
          <w:p>
            <w:pPr>
              <w:spacing w:after="20"/>
            </w:pPr>
            <w:r>
              <w:rPr>
                <w:color w:val="2E3B38"/>
                <w:sz w:val="18"/>
              </w:rPr>
              <w:t>READY</w:t>
            </w:r>
          </w:p>
        </w:tc>
        <w:tc>
          <w:tcPr>
            <w:tcW w:type="dxa" w:w="2448"/>
          </w:tcPr>
          <w:p>
            <w:pPr>
              <w:spacing w:after="20"/>
            </w:pPr>
            <w:r>
              <w:rPr>
                <w:color w:val="2E3B38"/>
                <w:sz w:val="18"/>
              </w:rPr>
              <w:t>Also Exhibit B to the Settlement Agreement.</w:t>
            </w:r>
          </w:p>
        </w:tc>
      </w:tr>
      <w:tr>
        <w:tc>
          <w:tcPr>
            <w:tcW w:type="dxa" w:w="2448"/>
            <w:shd w:val="clear" w:fill="F7F6F3"/>
          </w:tcPr>
          <w:p>
            <w:pPr>
              <w:spacing w:after="20"/>
            </w:pPr>
            <w:r>
              <w:rPr>
                <w:color w:val="2E3B38"/>
                <w:sz w:val="18"/>
              </w:rPr>
              <w:t>Settlement and Release Agreement</w:t>
            </w:r>
          </w:p>
        </w:tc>
        <w:tc>
          <w:tcPr>
            <w:tcW w:type="dxa" w:w="2448"/>
            <w:shd w:val="clear" w:fill="F7F6F3"/>
          </w:tcPr>
          <w:p>
            <w:pPr>
              <w:spacing w:after="20"/>
            </w:pPr>
            <w:r>
              <w:rPr>
                <w:color w:val="2E3B38"/>
                <w:sz w:val="18"/>
              </w:rPr>
              <w:t>md</w:t>
            </w:r>
          </w:p>
        </w:tc>
        <w:tc>
          <w:tcPr>
            <w:tcW w:type="dxa" w:w="2448"/>
            <w:shd w:val="clear" w:fill="F7F6F3"/>
          </w:tcPr>
          <w:p>
            <w:pPr>
              <w:spacing w:after="20"/>
            </w:pPr>
            <w:r>
              <w:rPr>
                <w:b/>
                <w:color w:val="1E3C36"/>
                <w:sz w:val="18"/>
              </w:rPr>
              <w:t>ATTORNEY</w:t>
            </w:r>
          </w:p>
        </w:tc>
        <w:tc>
          <w:tcPr>
            <w:tcW w:type="dxa" w:w="2448"/>
            <w:shd w:val="clear" w:fill="F7F6F3"/>
          </w:tcPr>
          <w:p>
            <w:pPr>
              <w:spacing w:after="20"/>
            </w:pPr>
            <w:r>
              <w:rPr>
                <w:color w:val="2E3B38"/>
                <w:sz w:val="18"/>
              </w:rPr>
              <w:t>12-month true-up, 5% disposition fee.</w:t>
            </w:r>
          </w:p>
        </w:tc>
      </w:tr>
      <w:tr>
        <w:tc>
          <w:tcPr>
            <w:tcW w:type="dxa" w:w="2448"/>
          </w:tcPr>
          <w:p>
            <w:pPr>
              <w:spacing w:after="20"/>
            </w:pPr>
            <w:r>
              <w:rPr>
                <w:color w:val="2E3B38"/>
                <w:sz w:val="18"/>
              </w:rPr>
              <w:t>Estoppel Affidavit + Schedule 1</w:t>
            </w:r>
          </w:p>
        </w:tc>
        <w:tc>
          <w:tcPr>
            <w:tcW w:type="dxa" w:w="2448"/>
          </w:tcPr>
          <w:p>
            <w:pPr>
              <w:spacing w:after="20"/>
            </w:pPr>
            <w:r>
              <w:rPr>
                <w:color w:val="2E3B38"/>
                <w:sz w:val="18"/>
              </w:rPr>
              <w:t>md</w:t>
            </w:r>
          </w:p>
        </w:tc>
        <w:tc>
          <w:tcPr>
            <w:tcW w:type="dxa" w:w="2448"/>
          </w:tcPr>
          <w:p>
            <w:pPr>
              <w:spacing w:after="20"/>
            </w:pPr>
            <w:r>
              <w:rPr>
                <w:b/>
                <w:color w:val="1E3C36"/>
                <w:sz w:val="18"/>
              </w:rPr>
              <w:t>ATTORNEY</w:t>
            </w:r>
          </w:p>
        </w:tc>
        <w:tc>
          <w:tcPr>
            <w:tcW w:type="dxa" w:w="2448"/>
          </w:tcPr>
          <w:p>
            <w:pPr>
              <w:spacing w:after="20"/>
            </w:pPr>
            <w:r>
              <w:rPr>
                <w:color w:val="2E3B38"/>
                <w:sz w:val="18"/>
              </w:rPr>
              <w:t>Sworn. The document that makes the conveyance stick.</w:t>
            </w:r>
          </w:p>
        </w:tc>
      </w:tr>
      <w:tr>
        <w:tc>
          <w:tcPr>
            <w:tcW w:type="dxa" w:w="2448"/>
            <w:shd w:val="clear" w:fill="F7F6F3"/>
          </w:tcPr>
          <w:p>
            <w:pPr>
              <w:spacing w:after="20"/>
            </w:pPr>
            <w:r>
              <w:rPr>
                <w:color w:val="2E3B38"/>
                <w:sz w:val="18"/>
              </w:rPr>
              <w:t>Special Warranty Deed in Lieu</w:t>
            </w:r>
          </w:p>
        </w:tc>
        <w:tc>
          <w:tcPr>
            <w:tcW w:type="dxa" w:w="2448"/>
            <w:shd w:val="clear" w:fill="F7F6F3"/>
          </w:tcPr>
          <w:p>
            <w:pPr>
              <w:spacing w:after="20"/>
            </w:pPr>
            <w:r>
              <w:rPr>
                <w:color w:val="2E3B38"/>
                <w:sz w:val="18"/>
              </w:rPr>
              <w:t>md</w:t>
            </w:r>
          </w:p>
        </w:tc>
        <w:tc>
          <w:tcPr>
            <w:tcW w:type="dxa" w:w="2448"/>
            <w:shd w:val="clear" w:fill="F7F6F3"/>
          </w:tcPr>
          <w:p>
            <w:pPr>
              <w:spacing w:after="20"/>
            </w:pPr>
            <w:r>
              <w:rPr>
                <w:b/>
                <w:color w:val="1E3C36"/>
                <w:sz w:val="18"/>
              </w:rPr>
              <w:t>ATTORNEY</w:t>
            </w:r>
          </w:p>
        </w:tc>
        <w:tc>
          <w:tcPr>
            <w:tcW w:type="dxa" w:w="2448"/>
            <w:shd w:val="clear" w:fill="F7F6F3"/>
          </w:tcPr>
          <w:p>
            <w:pPr>
              <w:spacing w:after="20"/>
            </w:pPr>
            <w:r>
              <w:rPr>
                <w:color w:val="2E3B38"/>
                <w:sz w:val="18"/>
              </w:rPr>
              <w:t>Recorded. Carries the non-merger recitals.</w:t>
            </w:r>
          </w:p>
        </w:tc>
      </w:tr>
      <w:tr>
        <w:tc>
          <w:tcPr>
            <w:tcW w:type="dxa" w:w="2448"/>
          </w:tcPr>
          <w:p>
            <w:pPr>
              <w:spacing w:after="20"/>
            </w:pPr>
            <w:r>
              <w:rPr>
                <w:color w:val="2E3B38"/>
                <w:sz w:val="18"/>
              </w:rPr>
              <w:t>Bill of Sale and Assignment</w:t>
            </w:r>
          </w:p>
        </w:tc>
        <w:tc>
          <w:tcPr>
            <w:tcW w:type="dxa" w:w="2448"/>
          </w:tcPr>
          <w:p>
            <w:pPr>
              <w:spacing w:after="20"/>
            </w:pPr>
            <w:r>
              <w:rPr>
                <w:color w:val="2E3B38"/>
                <w:sz w:val="18"/>
              </w:rPr>
              <w:t>md</w:t>
            </w:r>
          </w:p>
        </w:tc>
        <w:tc>
          <w:tcPr>
            <w:tcW w:type="dxa" w:w="2448"/>
          </w:tcPr>
          <w:p>
            <w:pPr>
              <w:spacing w:after="20"/>
            </w:pPr>
            <w:r>
              <w:rPr>
                <w:b/>
                <w:color w:val="1E3C36"/>
                <w:sz w:val="18"/>
              </w:rPr>
              <w:t>ATTORNEY</w:t>
            </w:r>
          </w:p>
        </w:tc>
        <w:tc>
          <w:tcPr>
            <w:tcW w:type="dxa" w:w="2448"/>
          </w:tcPr>
          <w:p>
            <w:pPr>
              <w:spacing w:after="20"/>
            </w:pPr>
            <w:r>
              <w:rPr>
                <w:color w:val="2E3B38"/>
                <w:sz w:val="18"/>
              </w:rPr>
              <w:t>Personal property, contracts, permits, warranties.</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10D — POST-ACCEPTANCE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True-Up Summary Statement</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 Due within 30 days of resale, surplus or not.</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11 — PAYOFF &amp; RELEASE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Release of Collateral Assignment</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this edition. Due within 10 business days.</w:t>
            </w:r>
          </w:p>
        </w:tc>
      </w:tr>
      <w:tr>
        <w:tc>
          <w:tcPr>
            <w:tcW w:type="dxa" w:w="2448"/>
          </w:tcPr>
          <w:p>
            <w:pPr>
              <w:spacing w:after="20"/>
            </w:pPr>
            <w:r>
              <w:rPr>
                <w:color w:val="2E3B38"/>
                <w:sz w:val="18"/>
              </w:rPr>
              <w:t>Capital Partner final payoff statement</w:t>
            </w:r>
          </w:p>
        </w:tc>
        <w:tc>
          <w:tcPr>
            <w:tcW w:type="dxa" w:w="2448"/>
          </w:tcPr>
          <w:p>
            <w:pPr>
              <w:spacing w:after="20"/>
            </w:pPr>
            <w:r>
              <w:rPr>
                <w:color w:val="2E3B38"/>
                <w:sz w:val="18"/>
              </w:rPr>
              <w:t>md</w:t>
            </w:r>
          </w:p>
        </w:tc>
        <w:tc>
          <w:tcPr>
            <w:tcW w:type="dxa" w:w="2448"/>
          </w:tcPr>
          <w:p>
            <w:pPr>
              <w:spacing w:after="20"/>
            </w:pPr>
            <w:r>
              <w:rPr>
                <w:color w:val="2E3B38"/>
                <w:sz w:val="18"/>
              </w:rPr>
              <w:t>READY</w:t>
            </w:r>
          </w:p>
        </w:tc>
        <w:tc>
          <w:tcPr>
            <w:tcW w:type="dxa" w:w="2448"/>
          </w:tcPr>
          <w:p>
            <w:pPr>
              <w:spacing w:after="20"/>
            </w:pPr>
            <w:r>
              <w:rPr>
                <w:color w:val="2E3B38"/>
                <w:sz w:val="18"/>
              </w:rPr>
              <w:t>New this edition.</w:t>
            </w:r>
          </w:p>
        </w:tc>
      </w:tr>
      <w:tr>
        <w:tc>
          <w:tcPr>
            <w:tcW w:type="dxa" w:w="2448"/>
            <w:shd w:val="clear" w:fill="F7F6F3"/>
          </w:tcPr>
          <w:p>
            <w:pPr>
              <w:spacing w:after="20"/>
            </w:pPr>
            <w:r>
              <w:rPr>
                <w:color w:val="2E3B38"/>
                <w:sz w:val="18"/>
              </w:rPr>
              <w:t>True-Up Summary Statement</w:t>
            </w:r>
          </w:p>
        </w:tc>
        <w:tc>
          <w:tcPr>
            <w:tcW w:type="dxa" w:w="2448"/>
            <w:shd w:val="clear" w:fill="F7F6F3"/>
          </w:tcPr>
          <w:p>
            <w:pPr>
              <w:spacing w:after="20"/>
            </w:pPr>
            <w:r>
              <w:rPr>
                <w:color w:val="2E3B38"/>
                <w:sz w:val="18"/>
              </w:rPr>
              <w:t>md</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Duplicate of 10D.</w:t>
            </w:r>
          </w:p>
        </w:tc>
      </w:tr>
    </w:tbl>
    <w:p>
      <w:pPr>
        <w:spacing w:after="80"/>
      </w:pPr>
    </w:p>
    <w:p>
      <w:pPr>
        <w:spacing w:after="120"/>
      </w:pPr>
      <w:r>
        <w:rPr>
          <w:i/>
          <w:color w:val="6B7A75"/>
          <w:sz w:val="21"/>
        </w:rPr>
        <w:t>Payoff Statement and Release of Lien are pre-existing documents held outside this library.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RECURRING — STATEMENTS &amp; TAX</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DOCUMENT</w:t>
            </w:r>
          </w:p>
        </w:tc>
        <w:tc>
          <w:tcPr>
            <w:tcW w:type="dxa" w:w="2448"/>
            <w:shd w:val="clear" w:fill="1E3C36"/>
          </w:tcPr>
          <w:p>
            <w:pPr>
              <w:spacing w:after="20"/>
            </w:pPr>
            <w:r>
              <w:rPr>
                <w:rFonts w:ascii="Century Gothic" w:hAnsi="Century Gothic"/>
                <w:b/>
                <w:color w:val="F0EADE"/>
                <w:sz w:val="15"/>
              </w:rPr>
              <w:t>FORMATS</w:t>
            </w:r>
          </w:p>
        </w:tc>
        <w:tc>
          <w:tcPr>
            <w:tcW w:type="dxa" w:w="2448"/>
            <w:shd w:val="clear" w:fill="1E3C36"/>
          </w:tcPr>
          <w:p>
            <w:pPr>
              <w:spacing w:after="20"/>
            </w:pPr>
            <w:r>
              <w:rPr>
                <w:rFonts w:ascii="Century Gothic" w:hAnsi="Century Gothic"/>
                <w:b/>
                <w:color w:val="F0EADE"/>
                <w:sz w:val="15"/>
              </w:rPr>
              <w:t>STATUS</w:t>
            </w:r>
          </w:p>
        </w:tc>
        <w:tc>
          <w:tcPr>
            <w:tcW w:type="dxa" w:w="2448"/>
            <w:shd w:val="clear" w:fill="1E3C36"/>
          </w:tcPr>
          <w:p>
            <w:pPr>
              <w:spacing w:after="20"/>
            </w:pPr>
            <w:r>
              <w:rPr>
                <w:rFonts w:ascii="Century Gothic" w:hAnsi="Century Gothic"/>
                <w:b/>
                <w:color w:val="F0EADE"/>
                <w:sz w:val="15"/>
              </w:rPr>
              <w:t>NOTES</w:t>
            </w:r>
          </w:p>
        </w:tc>
      </w:tr>
      <w:tr>
        <w:tc>
          <w:tcPr>
            <w:tcW w:type="dxa" w:w="2448"/>
            <w:shd w:val="clear" w:fill="F7F6F3"/>
          </w:tcPr>
          <w:p>
            <w:pPr>
              <w:spacing w:after="20"/>
            </w:pPr>
            <w:r>
              <w:rPr>
                <w:color w:val="2E3B38"/>
                <w:sz w:val="18"/>
              </w:rPr>
              <w:t>Loan Statement</w:t>
            </w:r>
          </w:p>
        </w:tc>
        <w:tc>
          <w:tcPr>
            <w:tcW w:type="dxa" w:w="2448"/>
            <w:shd w:val="clear" w:fill="F7F6F3"/>
          </w:tcPr>
          <w:p>
            <w:pPr>
              <w:spacing w:after="20"/>
            </w:pPr>
            <w:r>
              <w:rPr>
                <w:color w:val="2E3B38"/>
                <w:sz w:val="18"/>
              </w:rPr>
              <w:t>docx · md · pdf</w:t>
            </w:r>
          </w:p>
        </w:tc>
        <w:tc>
          <w:tcPr>
            <w:tcW w:type="dxa" w:w="2448"/>
            <w:shd w:val="clear" w:fill="F7F6F3"/>
          </w:tcPr>
          <w:p>
            <w:pPr>
              <w:spacing w:after="20"/>
            </w:pPr>
            <w:r>
              <w:rPr>
                <w:color w:val="2E3B38"/>
                <w:sz w:val="18"/>
              </w:rPr>
              <w:t>READY</w:t>
            </w:r>
          </w:p>
        </w:tc>
        <w:tc>
          <w:tcPr>
            <w:tcW w:type="dxa" w:w="2448"/>
            <w:shd w:val="clear" w:fill="F7F6F3"/>
          </w:tcPr>
          <w:p>
            <w:pPr>
              <w:spacing w:after="20"/>
            </w:pPr>
            <w:r>
              <w:rPr>
                <w:color w:val="2E3B38"/>
                <w:sz w:val="18"/>
              </w:rPr>
              <w:t>New "How this month's interest was calculated" block.</w:t>
            </w:r>
          </w:p>
        </w:tc>
      </w:tr>
      <w:tr>
        <w:tc>
          <w:tcPr>
            <w:tcW w:type="dxa" w:w="2448"/>
          </w:tcPr>
          <w:p>
            <w:pPr>
              <w:spacing w:after="20"/>
            </w:pPr>
            <w:r>
              <w:rPr>
                <w:color w:val="2E3B38"/>
                <w:sz w:val="18"/>
              </w:rPr>
              <w:t>Capital Partner Statement</w:t>
            </w:r>
          </w:p>
        </w:tc>
        <w:tc>
          <w:tcPr>
            <w:tcW w:type="dxa" w:w="2448"/>
          </w:tcPr>
          <w:p>
            <w:pPr>
              <w:spacing w:after="20"/>
            </w:pPr>
            <w:r>
              <w:rPr>
                <w:color w:val="2E3B38"/>
                <w:sz w:val="18"/>
              </w:rPr>
              <w:t>docx · md · pdf</w:t>
            </w:r>
          </w:p>
        </w:tc>
        <w:tc>
          <w:tcPr>
            <w:tcW w:type="dxa" w:w="2448"/>
          </w:tcPr>
          <w:p>
            <w:pPr>
              <w:spacing w:after="20"/>
            </w:pPr>
            <w:r>
              <w:rPr>
                <w:color w:val="2E3B38"/>
                <w:sz w:val="18"/>
              </w:rPr>
              <w:t>READY</w:t>
            </w:r>
          </w:p>
        </w:tc>
        <w:tc>
          <w:tcPr>
            <w:tcW w:type="dxa" w:w="2448"/>
          </w:tcPr>
          <w:p>
            <w:pPr>
              <w:spacing w:after="20"/>
            </w:pPr>
            <w:r>
              <w:rPr>
                <w:color w:val="2E3B38"/>
                <w:sz w:val="18"/>
              </w:rPr>
              <w:t>actual/365 basis stated.</w:t>
            </w:r>
          </w:p>
        </w:tc>
      </w:tr>
    </w:tbl>
    <w:p>
      <w:pPr>
        <w:spacing w:after="80"/>
      </w:pPr>
    </w:p>
    <w:p>
      <w:pPr>
        <w:spacing w:after="120"/>
      </w:pPr>
      <w:r>
        <w:rPr>
          <w:i/>
          <w:color w:val="6B7A75"/>
          <w:sz w:val="21"/>
        </w:rPr>
        <w:t>Forms 1099-INT, 1099-A, and 1099-C are IRS forms, filed annually by January 31.</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REFERENCE</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1E3C36"/>
          </w:tcPr>
          <w:p>
            <w:pPr>
              <w:spacing w:after="20"/>
            </w:pPr>
            <w:r>
              <w:rPr>
                <w:rFonts w:ascii="Century Gothic" w:hAnsi="Century Gothic"/>
                <w:b/>
                <w:color w:val="F0EADE"/>
                <w:sz w:val="15"/>
              </w:rPr>
              <w:t>DOCUMENT</w:t>
            </w:r>
          </w:p>
        </w:tc>
        <w:tc>
          <w:tcPr>
            <w:tcW w:type="dxa" w:w="3264"/>
            <w:shd w:val="clear" w:fill="1E3C36"/>
          </w:tcPr>
          <w:p>
            <w:pPr>
              <w:spacing w:after="20"/>
            </w:pPr>
            <w:r>
              <w:rPr>
                <w:rFonts w:ascii="Century Gothic" w:hAnsi="Century Gothic"/>
                <w:b/>
                <w:color w:val="F0EADE"/>
                <w:sz w:val="15"/>
              </w:rPr>
              <w:t>FORMATS</w:t>
            </w:r>
          </w:p>
        </w:tc>
        <w:tc>
          <w:tcPr>
            <w:tcW w:type="dxa" w:w="3264"/>
            <w:shd w:val="clear" w:fill="1E3C36"/>
          </w:tcPr>
          <w:p>
            <w:pPr>
              <w:spacing w:after="20"/>
            </w:pPr>
            <w:r>
              <w:rPr>
                <w:rFonts w:ascii="Century Gothic" w:hAnsi="Century Gothic"/>
                <w:b/>
                <w:color w:val="F0EADE"/>
                <w:sz w:val="15"/>
              </w:rPr>
              <w:t>NOTES</w:t>
            </w:r>
          </w:p>
        </w:tc>
      </w:tr>
      <w:tr>
        <w:tc>
          <w:tcPr>
            <w:tcW w:type="dxa" w:w="3264"/>
            <w:shd w:val="clear" w:fill="F7F6F3"/>
          </w:tcPr>
          <w:p>
            <w:pPr>
              <w:spacing w:after="20"/>
            </w:pPr>
            <w:r>
              <w:rPr>
                <w:color w:val="2E3B38"/>
                <w:sz w:val="18"/>
              </w:rPr>
              <w:t>Loan Workflow &amp; Document Map</w:t>
            </w:r>
          </w:p>
        </w:tc>
        <w:tc>
          <w:tcPr>
            <w:tcW w:type="dxa" w:w="3264"/>
            <w:shd w:val="clear" w:fill="F7F6F3"/>
          </w:tcPr>
          <w:p>
            <w:pPr>
              <w:spacing w:after="20"/>
            </w:pPr>
            <w:r>
              <w:rPr>
                <w:color w:val="2E3B38"/>
                <w:sz w:val="18"/>
              </w:rPr>
              <w:t>md</w:t>
            </w:r>
          </w:p>
        </w:tc>
        <w:tc>
          <w:tcPr>
            <w:tcW w:type="dxa" w:w="3264"/>
            <w:shd w:val="clear" w:fill="F7F6F3"/>
          </w:tcPr>
          <w:p>
            <w:pPr>
              <w:spacing w:after="20"/>
            </w:pPr>
            <w:r>
              <w:rPr>
                <w:color w:val="2E3B38"/>
                <w:sz w:val="18"/>
              </w:rPr>
              <w:t>The authoritative process document. All settled terms live here.</w:t>
            </w:r>
          </w:p>
        </w:tc>
      </w:tr>
      <w:tr>
        <w:tc>
          <w:tcPr>
            <w:tcW w:type="dxa" w:w="3264"/>
          </w:tcPr>
          <w:p>
            <w:pPr>
              <w:spacing w:after="20"/>
            </w:pPr>
            <w:r>
              <w:rPr>
                <w:color w:val="2E3B38"/>
                <w:sz w:val="18"/>
              </w:rPr>
              <w:t>Work Order — Systemization</w:t>
            </w:r>
          </w:p>
        </w:tc>
        <w:tc>
          <w:tcPr>
            <w:tcW w:type="dxa" w:w="3264"/>
          </w:tcPr>
          <w:p>
            <w:pPr>
              <w:spacing w:after="20"/>
            </w:pPr>
            <w:r>
              <w:rPr>
                <w:color w:val="2E3B38"/>
                <w:sz w:val="18"/>
              </w:rPr>
              <w:t>md</w:t>
            </w:r>
          </w:p>
        </w:tc>
        <w:tc>
          <w:tcPr>
            <w:tcW w:type="dxa" w:w="3264"/>
          </w:tcPr>
          <w:p>
            <w:pPr>
              <w:spacing w:after="20"/>
            </w:pPr>
            <w:r>
              <w:rPr>
                <w:color w:val="2E3B38"/>
                <w:sz w:val="18"/>
              </w:rPr>
              <w:t>Four-step plan. Steps 1–3 complete.</w:t>
            </w:r>
          </w:p>
        </w:tc>
      </w:tr>
      <w:tr>
        <w:tc>
          <w:tcPr>
            <w:tcW w:type="dxa" w:w="3264"/>
            <w:shd w:val="clear" w:fill="F7F6F3"/>
          </w:tcPr>
          <w:p>
            <w:pPr>
              <w:spacing w:after="20"/>
            </w:pPr>
            <w:r>
              <w:rPr>
                <w:color w:val="2E3B38"/>
                <w:sz w:val="18"/>
              </w:rPr>
              <w:t>Website Copy Corrections</w:t>
            </w:r>
          </w:p>
        </w:tc>
        <w:tc>
          <w:tcPr>
            <w:tcW w:type="dxa" w:w="3264"/>
            <w:shd w:val="clear" w:fill="F7F6F3"/>
          </w:tcPr>
          <w:p>
            <w:pPr>
              <w:spacing w:after="20"/>
            </w:pPr>
            <w:r>
              <w:rPr>
                <w:color w:val="2E3B38"/>
                <w:sz w:val="18"/>
              </w:rPr>
              <w:t>md</w:t>
            </w:r>
          </w:p>
        </w:tc>
        <w:tc>
          <w:tcPr>
            <w:tcW w:type="dxa" w:w="3264"/>
            <w:shd w:val="clear" w:fill="F7F6F3"/>
          </w:tcPr>
          <w:p>
            <w:pPr>
              <w:spacing w:after="20"/>
            </w:pPr>
            <w:r>
              <w:rPr>
                <w:color w:val="2E3B38"/>
                <w:sz w:val="18"/>
              </w:rPr>
              <w:t>Corrected copy for /loan, /, /faq.</w:t>
            </w:r>
          </w:p>
        </w:tc>
      </w:tr>
      <w:tr>
        <w:tc>
          <w:tcPr>
            <w:tcW w:type="dxa" w:w="3264"/>
          </w:tcPr>
          <w:p>
            <w:pPr>
              <w:spacing w:after="20"/>
            </w:pPr>
            <w:r>
              <w:rPr>
                <w:color w:val="2E3B38"/>
                <w:sz w:val="18"/>
              </w:rPr>
              <w:t>Claude Code website corrections</w:t>
            </w:r>
          </w:p>
        </w:tc>
        <w:tc>
          <w:tcPr>
            <w:tcW w:type="dxa" w:w="3264"/>
          </w:tcPr>
          <w:p>
            <w:pPr>
              <w:spacing w:after="20"/>
            </w:pPr>
            <w:r>
              <w:rPr>
                <w:color w:val="2E3B38"/>
                <w:sz w:val="18"/>
              </w:rPr>
              <w:t>md</w:t>
            </w:r>
          </w:p>
        </w:tc>
        <w:tc>
          <w:tcPr>
            <w:tcW w:type="dxa" w:w="3264"/>
          </w:tcPr>
          <w:p>
            <w:pPr>
              <w:spacing w:after="20"/>
            </w:pPr>
            <w:r>
              <w:rPr>
                <w:color w:val="2E3B38"/>
                <w:sz w:val="18"/>
              </w:rPr>
              <w:t>Paste-ready prompt.</w:t>
            </w:r>
          </w:p>
        </w:tc>
      </w:tr>
      <w:tr>
        <w:tc>
          <w:tcPr>
            <w:tcW w:type="dxa" w:w="3264"/>
            <w:shd w:val="clear" w:fill="F7F6F3"/>
          </w:tcPr>
          <w:p>
            <w:pPr>
              <w:spacing w:after="20"/>
            </w:pPr>
            <w:r>
              <w:rPr>
                <w:color w:val="2E3B38"/>
                <w:sz w:val="18"/>
              </w:rPr>
              <w:t>build_loan_proposal.py</w:t>
            </w:r>
          </w:p>
        </w:tc>
        <w:tc>
          <w:tcPr>
            <w:tcW w:type="dxa" w:w="3264"/>
            <w:shd w:val="clear" w:fill="F7F6F3"/>
          </w:tcPr>
          <w:p>
            <w:pPr>
              <w:spacing w:after="20"/>
            </w:pPr>
            <w:r>
              <w:rPr>
                <w:color w:val="2E3B38"/>
                <w:sz w:val="18"/>
              </w:rPr>
              <w:t>py</w:t>
            </w:r>
          </w:p>
        </w:tc>
        <w:tc>
          <w:tcPr>
            <w:tcW w:type="dxa" w:w="3264"/>
            <w:shd w:val="clear" w:fill="F7F6F3"/>
          </w:tcPr>
          <w:p>
            <w:pPr>
              <w:spacing w:after="20"/>
            </w:pPr>
            <w:r>
              <w:rPr>
                <w:color w:val="2E3B38"/>
                <w:sz w:val="18"/>
              </w:rPr>
              <w:t>Regenerates the Loan Proposal PDF.</w:t>
            </w:r>
          </w:p>
        </w:tc>
      </w:tr>
      <w:tr>
        <w:tc>
          <w:tcPr>
            <w:tcW w:type="dxa" w:w="3264"/>
          </w:tcPr>
          <w:p>
            <w:pPr>
              <w:spacing w:after="20"/>
            </w:pPr>
            <w:r>
              <w:rPr>
                <w:color w:val="2E3B38"/>
                <w:sz w:val="18"/>
              </w:rPr>
              <w:t>build_closing_worksheet.py</w:t>
            </w:r>
          </w:p>
        </w:tc>
        <w:tc>
          <w:tcPr>
            <w:tcW w:type="dxa" w:w="3264"/>
          </w:tcPr>
          <w:p>
            <w:pPr>
              <w:spacing w:after="20"/>
            </w:pPr>
            <w:r>
              <w:rPr>
                <w:color w:val="2E3B38"/>
                <w:sz w:val="18"/>
              </w:rPr>
              <w:t>py</w:t>
            </w:r>
          </w:p>
        </w:tc>
        <w:tc>
          <w:tcPr>
            <w:tcW w:type="dxa" w:w="3264"/>
          </w:tcPr>
          <w:p>
            <w:pPr>
              <w:spacing w:after="20"/>
            </w:pPr>
            <w:r>
              <w:rPr>
                <w:color w:val="2E3B38"/>
                <w:sz w:val="18"/>
              </w:rPr>
              <w:t>Regenerates the Closing Worksheet PDF.</w:t>
            </w:r>
          </w:p>
        </w:tc>
      </w:tr>
      <w:tr>
        <w:tc>
          <w:tcPr>
            <w:tcW w:type="dxa" w:w="3264"/>
            <w:shd w:val="clear" w:fill="F7F6F3"/>
          </w:tcPr>
          <w:p>
            <w:pPr>
              <w:spacing w:after="20"/>
            </w:pPr>
            <w:r>
              <w:rPr>
                <w:color w:val="2E3B38"/>
                <w:sz w:val="18"/>
              </w:rPr>
              <w:t>build_loan_application.py</w:t>
            </w:r>
          </w:p>
        </w:tc>
        <w:tc>
          <w:tcPr>
            <w:tcW w:type="dxa" w:w="3264"/>
            <w:shd w:val="clear" w:fill="F7F6F3"/>
          </w:tcPr>
          <w:p>
            <w:pPr>
              <w:spacing w:after="20"/>
            </w:pPr>
            <w:r>
              <w:rPr>
                <w:color w:val="2E3B38"/>
                <w:sz w:val="18"/>
              </w:rPr>
              <w:t>py</w:t>
            </w:r>
          </w:p>
        </w:tc>
        <w:tc>
          <w:tcPr>
            <w:tcW w:type="dxa" w:w="3264"/>
            <w:shd w:val="clear" w:fill="F7F6F3"/>
          </w:tcPr>
          <w:p>
            <w:pPr>
              <w:spacing w:after="20"/>
            </w:pPr>
            <w:r>
              <w:rPr>
                <w:color w:val="2E3B38"/>
                <w:sz w:val="18"/>
              </w:rPr>
              <w:t>Regenerates the Loan Application PDF.</w:t>
            </w:r>
          </w:p>
        </w:tc>
      </w:tr>
      <w:tr>
        <w:tc>
          <w:tcPr>
            <w:tcW w:type="dxa" w:w="3264"/>
          </w:tcPr>
          <w:p>
            <w:pPr>
              <w:spacing w:after="20"/>
            </w:pPr>
            <w:r>
              <w:rPr>
                <w:color w:val="2E3B38"/>
                <w:sz w:val="18"/>
              </w:rPr>
              <w:t>build_processing_checklist.py</w:t>
            </w:r>
          </w:p>
        </w:tc>
        <w:tc>
          <w:tcPr>
            <w:tcW w:type="dxa" w:w="3264"/>
          </w:tcPr>
          <w:p>
            <w:pPr>
              <w:spacing w:after="20"/>
            </w:pPr>
            <w:r>
              <w:rPr>
                <w:color w:val="2E3B38"/>
                <w:sz w:val="18"/>
              </w:rPr>
              <w:t>py</w:t>
            </w:r>
          </w:p>
        </w:tc>
        <w:tc>
          <w:tcPr>
            <w:tcW w:type="dxa" w:w="3264"/>
          </w:tcPr>
          <w:p>
            <w:pPr>
              <w:spacing w:after="20"/>
            </w:pPr>
            <w:r>
              <w:rPr>
                <w:color w:val="2E3B38"/>
                <w:sz w:val="18"/>
              </w:rPr>
              <w:t>Regenerates the Processing Checklist PDF.</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RETIRED</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DOCUMENT</w:t>
            </w:r>
          </w:p>
        </w:tc>
        <w:tc>
          <w:tcPr>
            <w:tcW w:type="dxa" w:w="4896"/>
            <w:shd w:val="clear" w:fill="1E3C36"/>
          </w:tcPr>
          <w:p>
            <w:pPr>
              <w:spacing w:after="20"/>
            </w:pPr>
            <w:r>
              <w:rPr>
                <w:rFonts w:ascii="Century Gothic" w:hAnsi="Century Gothic"/>
                <w:b/>
                <w:color w:val="F0EADE"/>
                <w:sz w:val="15"/>
              </w:rPr>
              <w:t>RETIRED BECAUSE</w:t>
            </w:r>
          </w:p>
        </w:tc>
      </w:tr>
      <w:tr>
        <w:tc>
          <w:tcPr>
            <w:tcW w:type="dxa" w:w="4896"/>
            <w:shd w:val="clear" w:fill="F7F6F3"/>
          </w:tcPr>
          <w:p>
            <w:pPr>
              <w:spacing w:after="20"/>
            </w:pPr>
            <w:r>
              <w:rPr>
                <w:color w:val="2E3B38"/>
                <w:sz w:val="18"/>
              </w:rPr>
              <w:t>Borrower Document Checklist</w:t>
            </w:r>
          </w:p>
        </w:tc>
        <w:tc>
          <w:tcPr>
            <w:tcW w:type="dxa" w:w="4896"/>
            <w:shd w:val="clear" w:fill="F7F6F3"/>
          </w:tcPr>
          <w:p>
            <w:pPr>
              <w:spacing w:after="20"/>
            </w:pPr>
            <w:r>
              <w:rPr>
                <w:color w:val="2E3B38"/>
                <w:sz w:val="18"/>
              </w:rPr>
              <w:t>The Conditional Approval owns the conditions list.</w:t>
            </w:r>
          </w:p>
        </w:tc>
      </w:tr>
      <w:tr>
        <w:tc>
          <w:tcPr>
            <w:tcW w:type="dxa" w:w="4896"/>
          </w:tcPr>
          <w:p>
            <w:pPr>
              <w:spacing w:after="20"/>
            </w:pPr>
            <w:r>
              <w:rPr>
                <w:color w:val="2E3B38"/>
                <w:sz w:val="18"/>
              </w:rPr>
              <w:t>Construction Draw Request Form (PDF)</w:t>
            </w:r>
          </w:p>
        </w:tc>
        <w:tc>
          <w:tcPr>
            <w:tcW w:type="dxa" w:w="4896"/>
          </w:tcPr>
          <w:p>
            <w:pPr>
              <w:spacing w:after="20"/>
            </w:pPr>
            <w:r>
              <w:rPr>
                <w:color w:val="2E3B38"/>
                <w:sz w:val="18"/>
              </w:rPr>
              <w:t>Replaced by the online form. Not carried into this library.</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WHAT CHANGED IN THIS EDITION</w:t>
      </w:r>
    </w:p>
    <w:p>
      <w:pPr>
        <w:spacing w:after="120"/>
      </w:pPr>
      <w:r>
        <w:rPr>
          <w:b/>
          <w:color w:val="1E3C36"/>
          <w:sz w:val="21"/>
        </w:rPr>
        <w:t>New terms locked in</w:t>
      </w:r>
    </w:p>
    <w:tbl>
      <w:tblPr>
        <w:tblStyle w:val="TableGrid"/>
        <w:tblW w:type="auto" w:w="0"/>
        <w:jc w:val="left"/>
        <w:tblLook w:firstColumn="1" w:firstRow="1" w:lastColumn="0" w:lastRow="0" w:noHBand="0" w:noVBand="1" w:val="04A0"/>
      </w:tblPr>
      <w:tblGrid>
        <w:gridCol w:w="4896"/>
        <w:gridCol w:w="4896"/>
      </w:tblGrid>
      <w:tr>
        <w:tc>
          <w:tcPr>
            <w:tcW w:type="dxa" w:w="4896"/>
            <w:shd w:val="clear" w:fill="F7F6F3"/>
          </w:tcPr>
          <w:p>
            <w:pPr>
              <w:spacing w:after="20"/>
            </w:pPr>
            <w:r>
              <w:rPr>
                <w:color w:val="2E3B38"/>
                <w:sz w:val="18"/>
              </w:rPr>
              <w:t>Term</w:t>
            </w:r>
          </w:p>
        </w:tc>
        <w:tc>
          <w:tcPr>
            <w:tcW w:type="dxa" w:w="4896"/>
            <w:shd w:val="clear" w:fill="F7F6F3"/>
          </w:tcPr>
          <w:p>
            <w:pPr>
              <w:spacing w:after="20"/>
            </w:pPr>
            <w:r>
              <w:rPr>
                <w:color w:val="2E3B38"/>
                <w:sz w:val="18"/>
              </w:rPr>
              <w:t>9 months, one 3-month extension at 1% of original principal, unavailable if in default</w:t>
            </w:r>
          </w:p>
        </w:tc>
      </w:tr>
      <w:tr>
        <w:tc>
          <w:tcPr>
            <w:tcW w:type="dxa" w:w="4896"/>
          </w:tcPr>
          <w:p>
            <w:pPr>
              <w:spacing w:after="20"/>
            </w:pPr>
            <w:r>
              <w:rPr>
                <w:color w:val="2E3B38"/>
                <w:sz w:val="18"/>
              </w:rPr>
              <w:t>Interest — borrower</w:t>
            </w:r>
          </w:p>
        </w:tc>
        <w:tc>
          <w:tcPr>
            <w:tcW w:type="dxa" w:w="4896"/>
          </w:tcPr>
          <w:p>
            <w:pPr>
              <w:spacing w:after="20"/>
            </w:pPr>
            <w:r>
              <w:rPr>
                <w:color w:val="2E3B38"/>
                <w:sz w:val="18"/>
              </w:rPr>
              <w:t>12.000%, actual/360, funding day counts, payoff day does not</w:t>
            </w:r>
          </w:p>
        </w:tc>
      </w:tr>
      <w:tr>
        <w:tc>
          <w:tcPr>
            <w:tcW w:type="dxa" w:w="4896"/>
            <w:shd w:val="clear" w:fill="F7F6F3"/>
          </w:tcPr>
          <w:p>
            <w:pPr>
              <w:spacing w:after="20"/>
            </w:pPr>
            <w:r>
              <w:rPr>
                <w:color w:val="2E3B38"/>
                <w:sz w:val="18"/>
              </w:rPr>
              <w:t>Interest — capital partner</w:t>
            </w:r>
          </w:p>
        </w:tc>
        <w:tc>
          <w:tcPr>
            <w:tcW w:type="dxa" w:w="4896"/>
            <w:shd w:val="clear" w:fill="F7F6F3"/>
          </w:tcPr>
          <w:p>
            <w:pPr>
              <w:spacing w:after="20"/>
            </w:pPr>
            <w:r>
              <w:rPr>
                <w:color w:val="2E3B38"/>
                <w:sz w:val="18"/>
              </w:rPr>
              <w:t>actual/365</w:t>
            </w:r>
          </w:p>
        </w:tc>
      </w:tr>
      <w:tr>
        <w:tc>
          <w:tcPr>
            <w:tcW w:type="dxa" w:w="4896"/>
          </w:tcPr>
          <w:p>
            <w:pPr>
              <w:spacing w:after="20"/>
            </w:pPr>
            <w:r>
              <w:rPr>
                <w:color w:val="2E3B38"/>
                <w:sz w:val="18"/>
              </w:rPr>
              <w:t>Points financed</w:t>
            </w:r>
          </w:p>
        </w:tc>
        <w:tc>
          <w:tcPr>
            <w:tcW w:type="dxa" w:w="4896"/>
          </w:tcPr>
          <w:p>
            <w:pPr>
              <w:spacing w:after="20"/>
            </w:pPr>
            <w:r>
              <w:rPr>
                <w:color w:val="2E3B38"/>
                <w:sz w:val="18"/>
              </w:rPr>
              <w:t>rate becomes 12.250%</w:t>
            </w:r>
          </w:p>
        </w:tc>
      </w:tr>
      <w:tr>
        <w:tc>
          <w:tcPr>
            <w:tcW w:type="dxa" w:w="4896"/>
            <w:shd w:val="clear" w:fill="F7F6F3"/>
          </w:tcPr>
          <w:p>
            <w:pPr>
              <w:spacing w:after="20"/>
            </w:pPr>
            <w:r>
              <w:rPr>
                <w:color w:val="2E3B38"/>
                <w:sz w:val="18"/>
              </w:rPr>
              <w:t>Payments</w:t>
            </w:r>
          </w:p>
        </w:tc>
        <w:tc>
          <w:tcPr>
            <w:tcW w:type="dxa" w:w="4896"/>
            <w:shd w:val="clear" w:fill="F7F6F3"/>
          </w:tcPr>
          <w:p>
            <w:pPr>
              <w:spacing w:after="20"/>
            </w:pPr>
            <w:r>
              <w:rPr>
                <w:color w:val="2E3B38"/>
                <w:sz w:val="18"/>
              </w:rPr>
              <w:t>due the 1st, late the 4th, 4% late charge after the 10th, no auto-draft</w:t>
            </w:r>
          </w:p>
        </w:tc>
      </w:tr>
      <w:tr>
        <w:tc>
          <w:tcPr>
            <w:tcW w:type="dxa" w:w="4896"/>
          </w:tcPr>
          <w:p>
            <w:pPr>
              <w:spacing w:after="20"/>
            </w:pPr>
            <w:r>
              <w:rPr>
                <w:color w:val="2E3B38"/>
                <w:sz w:val="18"/>
              </w:rPr>
              <w:t>Background check fee</w:t>
            </w:r>
          </w:p>
        </w:tc>
        <w:tc>
          <w:tcPr>
            <w:tcW w:type="dxa" w:w="4896"/>
          </w:tcPr>
          <w:p>
            <w:pPr>
              <w:spacing w:after="20"/>
            </w:pPr>
            <w:r>
              <w:rPr>
                <w:color w:val="2E3B38"/>
                <w:sz w:val="18"/>
              </w:rPr>
              <w:t>$120 flat</w:t>
            </w:r>
          </w:p>
        </w:tc>
      </w:tr>
      <w:tr>
        <w:tc>
          <w:tcPr>
            <w:tcW w:type="dxa" w:w="4896"/>
            <w:shd w:val="clear" w:fill="F7F6F3"/>
          </w:tcPr>
          <w:p>
            <w:pPr>
              <w:spacing w:after="20"/>
            </w:pPr>
            <w:r>
              <w:rPr>
                <w:color w:val="2E3B38"/>
                <w:sz w:val="18"/>
              </w:rPr>
              <w:t>Draw model</w:t>
            </w:r>
          </w:p>
        </w:tc>
        <w:tc>
          <w:tcPr>
            <w:tcW w:type="dxa" w:w="4896"/>
            <w:shd w:val="clear" w:fill="F7F6F3"/>
          </w:tcPr>
          <w:p>
            <w:pPr>
              <w:spacing w:after="20"/>
            </w:pPr>
            <w:r>
              <w:rPr>
                <w:color w:val="2E3B38"/>
                <w:sz w:val="18"/>
              </w:rPr>
              <w:t>reimbursement, ad hoc, no draw limit, $5,000 minimum, bank statement required, in-person inspection</w:t>
            </w:r>
          </w:p>
        </w:tc>
      </w:tr>
      <w:tr>
        <w:tc>
          <w:tcPr>
            <w:tcW w:type="dxa" w:w="4896"/>
          </w:tcPr>
          <w:p>
            <w:pPr>
              <w:spacing w:after="20"/>
            </w:pPr>
            <w:r>
              <w:rPr>
                <w:color w:val="2E3B38"/>
                <w:sz w:val="18"/>
              </w:rPr>
              <w:t>Initial draw</w:t>
            </w:r>
          </w:p>
        </w:tc>
        <w:tc>
          <w:tcPr>
            <w:tcW w:type="dxa" w:w="4896"/>
          </w:tcPr>
          <w:p>
            <w:pPr>
              <w:spacing w:after="20"/>
            </w:pPr>
            <w:r>
              <w:rPr>
                <w:color w:val="2E3B38"/>
                <w:sz w:val="18"/>
              </w:rPr>
              <w:t>up to $5,000 before work begins, case by case</w:t>
            </w:r>
          </w:p>
        </w:tc>
      </w:tr>
      <w:tr>
        <w:tc>
          <w:tcPr>
            <w:tcW w:type="dxa" w:w="4896"/>
            <w:shd w:val="clear" w:fill="F7F6F3"/>
          </w:tcPr>
          <w:p>
            <w:pPr>
              <w:spacing w:after="20"/>
            </w:pPr>
            <w:r>
              <w:rPr>
                <w:color w:val="2E3B38"/>
                <w:sz w:val="18"/>
              </w:rPr>
              <w:t>Conditional Approval</w:t>
            </w:r>
          </w:p>
        </w:tc>
        <w:tc>
          <w:tcPr>
            <w:tcW w:type="dxa" w:w="4896"/>
            <w:shd w:val="clear" w:fill="F7F6F3"/>
          </w:tcPr>
          <w:p>
            <w:pPr>
              <w:spacing w:after="20"/>
            </w:pPr>
            <w:r>
              <w:rPr>
                <w:color w:val="2E3B38"/>
                <w:sz w:val="18"/>
              </w:rPr>
              <w:t>expires 30 days</w:t>
            </w:r>
          </w:p>
        </w:tc>
      </w:tr>
      <w:tr>
        <w:tc>
          <w:tcPr>
            <w:tcW w:type="dxa" w:w="4896"/>
          </w:tcPr>
          <w:p>
            <w:pPr>
              <w:spacing w:after="20"/>
            </w:pPr>
            <w:r>
              <w:rPr>
                <w:color w:val="2E3B38"/>
                <w:sz w:val="18"/>
              </w:rPr>
              <w:t>Capital stack</w:t>
            </w:r>
          </w:p>
        </w:tc>
        <w:tc>
          <w:tcPr>
            <w:tcW w:type="dxa" w:w="4896"/>
          </w:tcPr>
          <w:p>
            <w:pPr>
              <w:spacing w:after="20"/>
            </w:pPr>
            <w:r>
              <w:rPr>
                <w:color w:val="2E3B38"/>
                <w:sz w:val="18"/>
              </w:rPr>
              <w:t xml:space="preserve">CP 50–60% </w:t>
            </w:r>
            <w:r>
              <w:rPr>
                <w:b/>
                <w:color w:val="1E3C36"/>
                <w:sz w:val="18"/>
              </w:rPr>
              <w:t>of the loan</w:t>
            </w:r>
            <w:r>
              <w:rPr>
                <w:color w:val="2E3B38"/>
                <w:sz w:val="18"/>
              </w:rPr>
              <w:t>; borrower down payment never in the denominator</w:t>
            </w:r>
          </w:p>
        </w:tc>
      </w:tr>
      <w:tr>
        <w:tc>
          <w:tcPr>
            <w:tcW w:type="dxa" w:w="4896"/>
            <w:shd w:val="clear" w:fill="F7F6F3"/>
          </w:tcPr>
          <w:p>
            <w:pPr>
              <w:spacing w:after="20"/>
            </w:pPr>
            <w:r>
              <w:rPr>
                <w:color w:val="2E3B38"/>
                <w:sz w:val="18"/>
              </w:rPr>
              <w:t>Signatures</w:t>
            </w:r>
          </w:p>
        </w:tc>
        <w:tc>
          <w:tcPr>
            <w:tcW w:type="dxa" w:w="4896"/>
            <w:shd w:val="clear" w:fill="F7F6F3"/>
          </w:tcPr>
          <w:p>
            <w:pPr>
              <w:spacing w:after="20"/>
            </w:pPr>
            <w:r>
              <w:rPr>
                <w:color w:val="2E3B38"/>
                <w:sz w:val="18"/>
              </w:rPr>
              <w:t>one Manager on administrative documents, both on anything creating an obligation</w:t>
            </w:r>
          </w:p>
        </w:tc>
      </w:tr>
    </w:tbl>
    <w:p>
      <w:pPr>
        <w:spacing w:after="80"/>
      </w:pPr>
    </w:p>
    <w:p>
      <w:pPr>
        <w:spacing w:after="120"/>
      </w:pPr>
      <w:r>
        <w:rPr>
          <w:b/>
          <w:color w:val="1E3C36"/>
          <w:sz w:val="21"/>
        </w:rPr>
        <w:t>Renamed</w:t>
      </w:r>
    </w:p>
    <w:p>
      <w:pPr>
        <w:pStyle w:val="ListBullet"/>
        <w:spacing w:after="60"/>
      </w:pPr>
      <w:r>
        <w:rPr>
          <w:color w:val="2E3B38"/>
          <w:sz w:val="21"/>
        </w:rPr>
        <w:t xml:space="preserve">Loan Term Sheet → </w:t>
      </w:r>
      <w:r>
        <w:rPr>
          <w:b/>
          <w:color w:val="1E3C36"/>
          <w:sz w:val="21"/>
        </w:rPr>
        <w:t>Loan Proposal</w:t>
      </w:r>
    </w:p>
    <w:p>
      <w:pPr>
        <w:pStyle w:val="ListBullet"/>
        <w:spacing w:after="60"/>
      </w:pPr>
      <w:r>
        <w:rPr>
          <w:color w:val="2E3B38"/>
          <w:sz w:val="21"/>
        </w:rPr>
        <w:t xml:space="preserve">ACH Authorization → </w:t>
      </w:r>
      <w:r>
        <w:rPr>
          <w:b/>
          <w:color w:val="1E3C36"/>
          <w:sz w:val="21"/>
        </w:rPr>
        <w:t>Payment Instructions</w:t>
      </w:r>
    </w:p>
    <w:p>
      <w:pPr>
        <w:pStyle w:val="ListBullet"/>
        <w:spacing w:after="60"/>
      </w:pPr>
      <w:r>
        <w:rPr>
          <w:color w:val="2E3B38"/>
          <w:sz w:val="21"/>
        </w:rPr>
        <w:t xml:space="preserve">Borrower Acceptance → </w:t>
      </w:r>
      <w:r>
        <w:rPr>
          <w:b/>
          <w:color w:val="1E3C36"/>
          <w:sz w:val="21"/>
        </w:rPr>
        <w:t>Borrower Acknowledgment &amp; Intent to Proceed</w:t>
      </w:r>
    </w:p>
    <w:p>
      <w:pPr>
        <w:spacing w:after="120"/>
      </w:pPr>
      <w:r>
        <w:rPr>
          <w:b/>
          <w:color w:val="1E3C36"/>
          <w:sz w:val="21"/>
        </w:rPr>
        <w:t>Structural decisions</w:t>
      </w:r>
    </w:p>
    <w:p>
      <w:pPr>
        <w:pStyle w:val="ListBullet"/>
        <w:spacing w:after="60"/>
      </w:pPr>
      <w:r>
        <w:rPr>
          <w:color w:val="2E3B38"/>
          <w:sz w:val="21"/>
        </w:rPr>
        <w:t xml:space="preserve">Deed in lieu is a </w:t>
      </w:r>
      <w:r>
        <w:rPr>
          <w:b/>
          <w:color w:val="1E3C36"/>
          <w:sz w:val="21"/>
        </w:rPr>
        <w:t>post-default workout offer only.</w:t>
      </w:r>
      <w:r>
        <w:rPr>
          <w:color w:val="2E3B38"/>
          <w:sz w:val="21"/>
        </w:rPr>
        <w:t xml:space="preserve"> Nothing signed at closing. No equity waiver. Foreclosure is the default path.</w:t>
      </w:r>
    </w:p>
    <w:p>
      <w:pPr>
        <w:pStyle w:val="ListBullet"/>
        <w:spacing w:after="60"/>
      </w:pPr>
      <w:r>
        <w:rPr>
          <w:color w:val="2E3B38"/>
          <w:sz w:val="21"/>
        </w:rPr>
        <w:t xml:space="preserve">Capital Partner is a </w:t>
      </w:r>
      <w:r>
        <w:rPr>
          <w:b/>
          <w:color w:val="1E3C36"/>
          <w:sz w:val="21"/>
        </w:rPr>
        <w:t>per-deal offering</w:t>
      </w:r>
      <w:r>
        <w:rPr>
          <w:color w:val="2E3B38"/>
          <w:sz w:val="21"/>
        </w:rPr>
        <w:t xml:space="preserve"> to partners who review each deal individually.</w:t>
      </w:r>
    </w:p>
    <w:p>
      <w:pPr>
        <w:pStyle w:val="ListBullet"/>
        <w:spacing w:after="60"/>
      </w:pPr>
      <w:r>
        <w:rPr>
          <w:color w:val="2E3B38"/>
          <w:sz w:val="21"/>
        </w:rPr>
        <w:t xml:space="preserve">Capital Partner </w:t>
      </w:r>
      <w:r>
        <w:rPr>
          <w:b/>
          <w:color w:val="1E3C36"/>
          <w:sz w:val="21"/>
        </w:rPr>
        <w:t>cannot demand repayment early</w:t>
      </w:r>
      <w:r>
        <w:rPr>
          <w:color w:val="2E3B38"/>
          <w:sz w:val="21"/>
        </w:rPr>
        <w:t xml:space="preserve"> — repaid from proceeds when the property sells.</w:t>
      </w:r>
    </w:p>
    <w:p>
      <w:pPr>
        <w:pStyle w:val="ListBullet"/>
        <w:spacing w:after="60"/>
      </w:pPr>
      <w:r>
        <w:rPr>
          <w:color w:val="2E3B38"/>
          <w:sz w:val="21"/>
        </w:rPr>
        <w:t xml:space="preserve">ARV determined </w:t>
      </w:r>
      <w:r>
        <w:rPr>
          <w:b/>
          <w:color w:val="1E3C36"/>
          <w:sz w:val="21"/>
        </w:rPr>
        <w:t>in house.</w:t>
      </w:r>
      <w:r>
        <w:rPr>
          <w:color w:val="2E3B38"/>
          <w:sz w:val="21"/>
        </w:rPr>
        <w:t xml:space="preserve"> Never appears in borrower-facing documents.</w:t>
      </w:r>
    </w:p>
    <w:p>
      <w:pPr>
        <w:pStyle w:val="ListBullet"/>
        <w:spacing w:after="60"/>
      </w:pPr>
      <w:r>
        <w:rPr>
          <w:color w:val="2E3B38"/>
          <w:sz w:val="21"/>
        </w:rPr>
        <w:t xml:space="preserve">Borrower's interest rate appears in </w:t>
      </w:r>
      <w:r>
        <w:rPr>
          <w:b/>
          <w:color w:val="1E3C36"/>
          <w:sz w:val="21"/>
        </w:rPr>
        <w:t>no investor-facing material</w:t>
      </w:r>
      <w:r>
        <w:rPr>
          <w:color w:val="2E3B38"/>
          <w:sz w:val="21"/>
        </w:rPr>
        <w:t>, and the Promissory Note is not enclosed with partner correspondence.</w:t>
      </w:r>
    </w:p>
    <w:p>
      <w:pPr>
        <w:pStyle w:val="ListBullet"/>
        <w:spacing w:after="60"/>
      </w:pPr>
      <w:r>
        <w:rPr>
          <w:color w:val="2E3B38"/>
          <w:sz w:val="21"/>
        </w:rPr>
        <w:t>Credit authorization split onto its own signed form, one per principal and guarantor.</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BEFORE ANY OF THIS GOES LIVE</w:t>
      </w:r>
    </w:p>
    <w:p>
      <w:pPr>
        <w:spacing w:after="120"/>
      </w:pPr>
      <w:r>
        <w:rPr>
          <w:b/>
          <w:color w:val="1E3C36"/>
          <w:sz w:val="21"/>
        </w:rPr>
        <w:t>Texas real estate attorney</w:t>
      </w:r>
      <w:r>
        <w:rPr>
          <w:color w:val="2E3B38"/>
          <w:sz w:val="21"/>
        </w:rPr>
        <w:t xml:space="preserve"> — the 10C workout packet (7 documents) and the Chapter 53 notice-forwarding covenant for the Deed of Trust.</w:t>
      </w:r>
    </w:p>
    <w:p>
      <w:pPr>
        <w:spacing w:after="120"/>
      </w:pPr>
      <w:r>
        <w:rPr>
          <w:b/>
          <w:color w:val="1E3C36"/>
          <w:sz w:val="21"/>
        </w:rPr>
        <w:t>Securities attorney</w:t>
      </w:r>
      <w:r>
        <w:rPr>
          <w:color w:val="2E3B38"/>
          <w:sz w:val="21"/>
        </w:rPr>
        <w:t xml:space="preserve"> — the Capital Partner Agreement and Collateral Assignment. </w:t>
      </w:r>
      <w:r>
        <w:rPr>
          <w:b/>
          <w:color w:val="1E3C36"/>
          <w:sz w:val="21"/>
        </w:rPr>
        <w:t>They must be told the structure is per deal, per partner, offered to multiple partners who each review and decide.</w:t>
      </w:r>
      <w:r>
        <w:rPr>
          <w:color w:val="2E3B38"/>
          <w:sz w:val="21"/>
        </w:rPr>
        <w:t xml:space="preserve"> That is a series of separate offerings, not one ongoing relationship, and it changes the exemption analysis.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KNOWN OPEN ITEMS</w:t>
      </w:r>
    </w:p>
    <w:tbl>
      <w:tblPr>
        <w:tblStyle w:val="TableGrid"/>
        <w:tblW w:type="auto" w:w="0"/>
        <w:jc w:val="left"/>
        <w:tblLook w:firstColumn="1" w:firstRow="1" w:lastColumn="0" w:lastRow="0" w:noHBand="0" w:noVBand="1" w:val="04A0"/>
      </w:tblPr>
      <w:tblGrid>
        <w:gridCol w:w="4896"/>
        <w:gridCol w:w="4896"/>
      </w:tblGrid>
      <w:tr>
        <w:tc>
          <w:tcPr>
            <w:tcW w:type="dxa" w:w="4896"/>
            <w:shd w:val="clear" w:fill="1E3C36"/>
          </w:tcPr>
          <w:p>
            <w:pPr>
              <w:spacing w:after="20"/>
            </w:pPr>
            <w:r>
              <w:rPr>
                <w:rFonts w:ascii="Century Gothic" w:hAnsi="Century Gothic"/>
                <w:b/>
                <w:color w:val="F0EADE"/>
                <w:sz w:val="15"/>
              </w:rPr>
              <w:t>ITEM</w:t>
            </w:r>
          </w:p>
        </w:tc>
        <w:tc>
          <w:tcPr>
            <w:tcW w:type="dxa" w:w="4896"/>
            <w:shd w:val="clear" w:fill="1E3C36"/>
          </w:tcPr>
          <w:p>
            <w:pPr>
              <w:spacing w:after="20"/>
            </w:pPr>
            <w:r>
              <w:rPr>
                <w:rFonts w:ascii="Century Gothic" w:hAnsi="Century Gothic"/>
                <w:b/>
                <w:color w:val="F0EADE"/>
                <w:sz w:val="15"/>
              </w:rPr>
              <w:t>OWNER</w:t>
            </w:r>
          </w:p>
        </w:tc>
      </w:tr>
      <w:tr>
        <w:tc>
          <w:tcPr>
            <w:tcW w:type="dxa" w:w="4896"/>
            <w:shd w:val="clear" w:fill="F7F6F3"/>
          </w:tcPr>
          <w:p>
            <w:pPr>
              <w:spacing w:after="20"/>
            </w:pPr>
            <w:r>
              <w:rPr>
                <w:color w:val="2E3B38"/>
                <w:sz w:val="18"/>
              </w:rPr>
              <w:t>Deed of Trust — Chapter 53 covenant</w:t>
            </w:r>
          </w:p>
        </w:tc>
        <w:tc>
          <w:tcPr>
            <w:tcW w:type="dxa" w:w="4896"/>
            <w:shd w:val="clear" w:fill="F7F6F3"/>
          </w:tcPr>
          <w:p>
            <w:pPr>
              <w:spacing w:after="20"/>
            </w:pPr>
            <w:r>
              <w:rPr>
                <w:color w:val="2E3B38"/>
                <w:sz w:val="18"/>
              </w:rPr>
              <w:t>Attorney</w:t>
            </w:r>
          </w:p>
        </w:tc>
      </w:tr>
      <w:tr>
        <w:tc>
          <w:tcPr>
            <w:tcW w:type="dxa" w:w="4896"/>
          </w:tcPr>
          <w:p>
            <w:pPr>
              <w:spacing w:after="20"/>
            </w:pPr>
            <w:r>
              <w:rPr>
                <w:color w:val="2E3B38"/>
                <w:sz w:val="18"/>
              </w:rPr>
              <w:t>Website corrections — /loan, /, /faq, /apply</w:t>
            </w:r>
          </w:p>
        </w:tc>
        <w:tc>
          <w:tcPr>
            <w:tcW w:type="dxa" w:w="4896"/>
          </w:tcPr>
          <w:p>
            <w:pPr>
              <w:spacing w:after="20"/>
            </w:pPr>
            <w:r>
              <w:rPr>
                <w:color w:val="2E3B38"/>
                <w:sz w:val="18"/>
              </w:rPr>
              <w:t>Lewis</w:t>
            </w:r>
          </w:p>
        </w:tc>
      </w:tr>
      <w:tr>
        <w:tc>
          <w:tcPr>
            <w:tcW w:type="dxa" w:w="4896"/>
            <w:shd w:val="clear" w:fill="F7F6F3"/>
          </w:tcPr>
          <w:p>
            <w:pPr>
              <w:spacing w:after="20"/>
            </w:pPr>
            <w:r>
              <w:rPr>
                <w:color w:val="2E3B38"/>
                <w:sz w:val="18"/>
              </w:rPr>
              <w:t>Deal calculator — verify it uses 80% of ARV</w:t>
            </w:r>
          </w:p>
        </w:tc>
        <w:tc>
          <w:tcPr>
            <w:tcW w:type="dxa" w:w="4896"/>
            <w:shd w:val="clear" w:fill="F7F6F3"/>
          </w:tcPr>
          <w:p>
            <w:pPr>
              <w:spacing w:after="20"/>
            </w:pPr>
            <w:r>
              <w:rPr>
                <w:color w:val="2E3B38"/>
                <w:sz w:val="18"/>
              </w:rPr>
              <w:t>Lewis</w:t>
            </w:r>
          </w:p>
        </w:tc>
      </w:tr>
      <w:tr>
        <w:tc>
          <w:tcPr>
            <w:tcW w:type="dxa" w:w="4896"/>
          </w:tcPr>
          <w:p>
            <w:pPr>
              <w:spacing w:after="20"/>
            </w:pPr>
            <w:r>
              <w:rPr>
                <w:color w:val="2E3B38"/>
                <w:sz w:val="18"/>
              </w:rPr>
              <w:t>Trustee hardcoded as "Robert Roberts" in the Note and Deed of Trust</w:t>
            </w:r>
          </w:p>
        </w:tc>
        <w:tc>
          <w:tcPr>
            <w:tcW w:type="dxa" w:w="4896"/>
          </w:tcPr>
          <w:p>
            <w:pPr>
              <w:spacing w:after="20"/>
            </w:pPr>
            <w:r>
              <w:rPr>
                <w:color w:val="2E3B38"/>
                <w:sz w:val="18"/>
              </w:rPr>
              <w:t>Lewis — tokenize if it varies</w:t>
            </w:r>
          </w:p>
        </w:tc>
      </w:tr>
      <w:tr>
        <w:tc>
          <w:tcPr>
            <w:tcW w:type="dxa" w:w="4896"/>
            <w:shd w:val="clear" w:fill="F7F6F3"/>
          </w:tcPr>
          <w:p>
            <w:pPr>
              <w:spacing w:after="20"/>
            </w:pPr>
            <w:r>
              <w:rPr>
                <w:color w:val="2E3B38"/>
                <w:sz w:val="18"/>
              </w:rPr>
              <w:t>Data model and tool selection — Airtable vs. Wrike</w:t>
            </w:r>
          </w:p>
        </w:tc>
        <w:tc>
          <w:tcPr>
            <w:tcW w:type="dxa" w:w="4896"/>
            <w:shd w:val="clear" w:fill="F7F6F3"/>
          </w:tcPr>
          <w:p>
            <w:pPr>
              <w:spacing w:after="20"/>
            </w:pPr>
            <w:r>
              <w:rPr>
                <w:color w:val="2E3B38"/>
                <w:sz w:val="18"/>
              </w:rPr>
              <w:t>Step 4 of the work order</w:t>
            </w:r>
          </w:p>
        </w:tc>
      </w:tr>
    </w:tbl>
    <w:p>
      <w:pPr>
        <w:spacing w:after="80"/>
      </w:pP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ACCEPTED RISKS</w:t>
      </w:r>
    </w:p>
    <w:p>
      <w:pPr>
        <w:spacing w:after="120"/>
      </w:pPr>
      <w:r>
        <w:rPr>
          <w:b/>
          <w:color w:val="1E3C36"/>
          <w:sz w:val="21"/>
        </w:rPr>
        <w:t>No lien waivers required with draws.</w:t>
      </w:r>
      <w:r>
        <w:rPr>
          <w:color w:val="2E3B38"/>
          <w:sz w:val="21"/>
        </w:rPr>
        <w:t xml:space="preserve"> A bank statement proves the borrower paid their contractor. It does not prove the contractor paid their subs, and unpaid subs are who file liens. Texas mechanic's liens relate back to inception of work, so a late-filed lien can sit ahead of the Deed of Trust. Accepted deliberately — revisit if a lien is ever filed on a deal.</w:t>
      </w:r>
    </w:p>
    <w:p>
      <w:pPr>
        <w:spacing w:after="120"/>
      </w:pPr>
      <w:r>
        <w:rPr>
          <w:b/>
          <w:color w:val="1E3C36"/>
          <w:sz w:val="21"/>
        </w:rPr>
        <w:t>Capital Partner monthly payment guarantee</w:t>
      </w:r>
      <w:r>
        <w:rPr>
          <w:color w:val="2E3B38"/>
          <w:sz w:val="21"/>
        </w:rPr>
        <w:t xml:space="preserve"> (Agreement § 4.3). Lazy Dog advances the partner's monthly return from its own funds whether or not the borrower pays. Creates unfunded contingent liability and strengthens the case that the arrangement is a security. Kept deliberately as a selling point.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BRAND</w:t>
      </w:r>
    </w:p>
    <w:p>
      <w:pPr>
        <w:spacing w:after="120"/>
      </w:pPr>
      <w:r>
        <w:rPr>
          <w:color w:val="2E3B38"/>
          <w:sz w:val="21"/>
        </w:rPr>
        <w:t xml:space="preserve">Designed pieces follow the Brand Guide: Forest Green </w:t>
      </w:r>
      <w:r>
        <w:rPr>
          <w:rFonts w:ascii="Consolas" w:hAnsi="Consolas"/>
          <w:color w:val="2E3B38"/>
          <w:sz w:val="21"/>
        </w:rPr>
        <w:t>#1E3C36</w:t>
      </w:r>
      <w:r>
        <w:rPr>
          <w:color w:val="2E3B38"/>
          <w:sz w:val="21"/>
        </w:rPr>
        <w:t xml:space="preserve">, Gold </w:t>
      </w:r>
      <w:r>
        <w:rPr>
          <w:rFonts w:ascii="Consolas" w:hAnsi="Consolas"/>
          <w:color w:val="2E3B38"/>
          <w:sz w:val="21"/>
        </w:rPr>
        <w:t>#C89430</w:t>
      </w:r>
      <w:r>
        <w:rPr>
          <w:color w:val="2E3B38"/>
          <w:sz w:val="21"/>
        </w:rPr>
        <w:t xml:space="preserve"> as accent only, Ink </w:t>
      </w:r>
      <w:r>
        <w:rPr>
          <w:rFonts w:ascii="Consolas" w:hAnsi="Consolas"/>
          <w:color w:val="2E3B38"/>
          <w:sz w:val="21"/>
        </w:rPr>
        <w:t>#2E3B38</w:t>
      </w:r>
      <w:r>
        <w:rPr>
          <w:color w:val="2E3B38"/>
          <w:sz w:val="21"/>
        </w:rPr>
        <w:t xml:space="preserve"> body text, Muted </w:t>
      </w:r>
      <w:r>
        <w:rPr>
          <w:rFonts w:ascii="Consolas" w:hAnsi="Consolas"/>
          <w:color w:val="2E3B38"/>
          <w:sz w:val="21"/>
        </w:rPr>
        <w:t>#6B7A75</w:t>
      </w:r>
      <w:r>
        <w:rPr>
          <w:color w:val="2E3B38"/>
          <w:sz w:val="21"/>
        </w:rPr>
        <w:t xml:space="preserve">, Hairline </w:t>
      </w:r>
      <w:r>
        <w:rPr>
          <w:rFonts w:ascii="Consolas" w:hAnsi="Consolas"/>
          <w:color w:val="2E3B38"/>
          <w:sz w:val="21"/>
        </w:rPr>
        <w:t>#DFD8C8</w:t>
      </w:r>
      <w:r>
        <w:rPr>
          <w:color w:val="2E3B38"/>
          <w:sz w:val="21"/>
        </w:rPr>
        <w:t>. Bodies print on white for home printing; the green masthead and gold rule carry the brand on page one.</w:t>
      </w:r>
    </w:p>
    <w:p>
      <w:pPr>
        <w:spacing w:after="120"/>
      </w:pPr>
      <w:r>
        <w:rPr>
          <w:color w:val="2E3B38"/>
          <w:sz w:val="21"/>
        </w:rPr>
        <w:t xml:space="preserve">Master logo artwork — primary, horizontal, icon, reversed — is trimmed to transparent PNGs in </w:t>
      </w:r>
      <w:r>
        <w:rPr>
          <w:rFonts w:ascii="Consolas" w:hAnsi="Consolas"/>
          <w:color w:val="2E3B38"/>
          <w:sz w:val="21"/>
        </w:rPr>
        <w:t>_Reference/brand/</w:t>
      </w:r>
      <w:r>
        <w:rPr>
          <w:color w:val="2E3B38"/>
          <w:sz w:val="21"/>
        </w:rPr>
        <w:t>.</w:t>
      </w:r>
    </w:p>
    <w:p>
      <w:pPr>
        <w:spacing w:after="120"/>
        <w:pBdr>
          <w:bottom w:val="single" w:sz="4" w:space="3" w:color="DFD8C8"/>
        </w:pBdr>
      </w:pPr>
    </w:p>
    <w:p>
      <w:pPr>
        <w:spacing w:after="120"/>
      </w:pPr>
      <w:r>
        <w:rPr>
          <w:i/>
          <w:color w:val="6B7A75"/>
          <w:sz w:val="21"/>
        </w:rPr>
        <w:t>Lazy Dog Capital LLC · 3400 N Central Expy #110-217, Richardson, TX 75080 · 214-740-4989</w:t>
      </w:r>
    </w:p>
    <w:p>
      <w:pPr>
        <w:spacing w:after="120"/>
      </w:pPr>
      <w:r>
        <w:rPr>
          <w:i/>
          <w:color w:val="6B7A75"/>
          <w:sz w:val="21"/>
        </w:rPr>
        <w:t>Master Manifest, First Edition · August 4, 2026</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