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WORK ORDER — Lazy Dog Capital Systemization</w:t>
      </w:r>
    </w:p>
    <w:p>
      <w:pPr>
        <w:spacing w:after="120"/>
      </w:pPr>
      <w:r>
        <w:rPr>
          <w:b/>
          <w:color w:val="1E3C36"/>
          <w:sz w:val="21"/>
        </w:rPr>
        <w:t>Agreed sequence. Work top to bottom. Do not start a later step before the one above it is done.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STEP 1 — FINISH THE WORKFLOW MAP</w:t>
      </w:r>
    </w:p>
    <w:p>
      <w:pPr>
        <w:spacing w:after="120"/>
      </w:pPr>
      <w:r>
        <w:rPr>
          <w:color w:val="2E3B38"/>
          <w:sz w:val="21"/>
        </w:rPr>
        <w:t xml:space="preserve">Stages </w:t>
      </w:r>
      <w:r>
        <w:rPr>
          <w:b/>
          <w:color w:val="1E3C36"/>
          <w:sz w:val="21"/>
        </w:rPr>
        <w:t>05, 07, 09, and 11</w:t>
      </w:r>
      <w:r>
        <w:rPr>
          <w:color w:val="2E3B38"/>
          <w:sz w:val="21"/>
        </w:rPr>
        <w:t xml:space="preserve"> have never been reviewed in detail. They still carry the original first-pass content and have not been reconciled against anything decided since.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STAGE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WHAT NEEDS WORK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05 — Capital Partner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The significant gap. No defined trigger for when a CP is brought into a deal, no sequence for the parallel track, no handling for what happens if you commit to a borrower before a partner is lined up.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07 — Closing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Reconcile against the Closing Instructions and the Cleared to Close email. Confirm recording sequence and what returns to the file.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09 — Servicing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Blocked in part by the draw model decision. Covers statements, draws, insurance and tax monitoring, maturity tracking.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11 — Payoff &amp; Release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Payoff statement, release of lien, release of collateral assignment, CP final accounting, closed-file sign-off.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Done when:</w:t>
      </w:r>
      <w:r>
        <w:rPr>
          <w:color w:val="2E3B38"/>
          <w:sz w:val="21"/>
        </w:rPr>
        <w:t xml:space="preserve"> every stage has been walked, and the document list at each one matches decisions made elsewhere in the map.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STEP 2 — SETTLE THE OPEN DECISIONS WITH STEVE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#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DECISION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BLOCKS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Draw model — reimbursement vs. initial draw.</w:t>
            </w:r>
            <w:r>
              <w:rPr>
                <w:color w:val="2E3B38"/>
                <w:sz w:val="18"/>
              </w:rPr>
              <w:t xml:space="preserve"> The most consequential open item.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Welcome/Servicing Letter · Draw Inspection Report · draw schedule · Note and Deed of Trust draw provisions · stage 09 · the entire draws data model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2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Draw schedule</w:t>
            </w:r>
            <w:r>
              <w:rPr>
                <w:color w:val="2E3B38"/>
                <w:sz w:val="18"/>
              </w:rPr>
              <w:t xml:space="preserve"> — fixed milestones with set release amounts, or ad hoc against completed line items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Same as above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3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Conditional Approval expiration window</w:t>
            </w:r>
            <w:r>
              <w:rPr>
                <w:color w:val="2E3B38"/>
                <w:sz w:val="18"/>
              </w:rPr>
              <w:t xml:space="preserve"> — 30, 45, or 60 days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Conditional Approval · both approval emails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4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Signature convention</w:t>
            </w:r>
            <w:r>
              <w:rPr>
                <w:color w:val="2E3B38"/>
                <w:sz w:val="18"/>
              </w:rPr>
              <w:t xml:space="preserve"> — single Manager on administrative documents, both on anything creating an obligation?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Loan Proposal · Conditional Approval · closing and workout packets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5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Online application output</w:t>
            </w:r>
            <w:r>
              <w:rPr>
                <w:color w:val="2E3B38"/>
                <w:sz w:val="18"/>
              </w:rPr>
              <w:t xml:space="preserve"> — does it produce a signed PDF, or only a record? The credit authorization signature is the piece that matters.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Loan Application · stage 02 · FCRA compliance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Settled since:</w:t>
      </w:r>
      <w:r>
        <w:rPr>
          <w:color w:val="2E3B38"/>
          <w:sz w:val="21"/>
        </w:rPr>
        <w:t xml:space="preserve"> draw model, Conditional Approval expiration (30 days), signature convention, and payments. Lazy Dog does not auto-draft — the "ACH Authorization" becomes </w:t>
      </w:r>
      <w:r>
        <w:rPr>
          <w:b/>
          <w:color w:val="1E3C36"/>
          <w:sz w:val="21"/>
        </w:rPr>
        <w:t>Payment Instructions</w:t>
      </w:r>
      <w:r>
        <w:rPr>
          <w:color w:val="2E3B38"/>
          <w:sz w:val="21"/>
        </w:rPr>
        <w:t xml:space="preserve"> with no debit authority.</w:t>
      </w:r>
    </w:p>
    <w:p>
      <w:pPr>
        <w:spacing w:after="120"/>
      </w:pPr>
      <w:r>
        <w:rPr>
          <w:b/>
          <w:color w:val="1E3C36"/>
          <w:sz w:val="21"/>
        </w:rPr>
        <w:t>Done when:</w:t>
      </w:r>
      <w:r>
        <w:rPr>
          <w:color w:val="2E3B38"/>
          <w:sz w:val="21"/>
        </w:rPr>
        <w:t xml:space="preserve"> all five are decided and recorded in the workflow map.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STEP 3 — BUILD THE REMAINING DOCUMENTS</w:t>
      </w:r>
    </w:p>
    <w:p>
      <w:pPr>
        <w:spacing w:after="120"/>
      </w:pPr>
      <w:r>
        <w:rPr>
          <w:color w:val="2E3B38"/>
          <w:sz w:val="21"/>
        </w:rPr>
        <w:t>16 outstanding. Two are blocked by the draw model decision and are marked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#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DOCUMENT</w:t>
            </w:r>
          </w:p>
        </w:tc>
        <w:tc>
          <w:tcPr>
            <w:tcW w:type="dxa" w:w="3264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NOTES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Deal Underwriting Worksheet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Highest leverage — enforces 80% ARV / 10% down / holdback math, feeds the Closing Worksheet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2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Welcome / Servicing Letter to borrower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Blocked — draw model</w:t>
            </w: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3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Renewal &amp; Extension Agreement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Papers the 3-month extension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4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Wire instructions letter — Capital Partner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5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Draw Inspection Report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Blocked — draw model</w:t>
            </w: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6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Contractor Lien Waiver — conditional + unconditional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7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Maturity Reminder Letter — 60 / 30 days out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8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Release of Collateral Assignment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9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Capital Partner final payoff statement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11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Notice of Acceleration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12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Capital Partner default notification letter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13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Itemized Total Debt statement (workout)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14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Capital Partner written consent to accept a deed in lieu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</w:p>
        </w:tc>
      </w:tr>
      <w:tr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15</w:t>
            </w:r>
          </w:p>
        </w:tc>
        <w:tc>
          <w:tcPr>
            <w:tcW w:type="dxa" w:w="3264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Capital Partner notice of completed conveyance</w:t>
            </w:r>
          </w:p>
        </w:tc>
        <w:tc>
          <w:tcPr>
            <w:tcW w:type="dxa" w:w="3264"/>
          </w:tcPr>
          <w:p>
            <w:pPr>
              <w:spacing w:after="20"/>
            </w:pPr>
          </w:p>
        </w:tc>
      </w:tr>
      <w:tr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16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True-up summary statement · credit bid worksheet · post-sale CP accounting</w:t>
            </w:r>
          </w:p>
        </w:tc>
        <w:tc>
          <w:tcPr>
            <w:tcW w:type="dxa" w:w="3264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Foreclosure and workout support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Running in parallel — regeneration pass.</w:t>
      </w:r>
      <w:r>
        <w:rPr>
          <w:color w:val="2E3B38"/>
          <w:sz w:val="21"/>
        </w:rPr>
        <w:t xml:space="preserve"> 10 existing documents need updating for decisions already made: Loan Proposal rename, 9-month term, 3-month extension at 1% of original principal, $120 background check fee, actual/360 basis language, credit authorization removal from the application. Requires </w:t>
      </w:r>
      <w:r>
        <w:rPr>
          <w:rFonts w:ascii="Consolas" w:hAnsi="Consolas"/>
          <w:color w:val="2E3B38"/>
          <w:sz w:val="21"/>
        </w:rPr>
        <w:t>Lazy_Dog_Merge_Masters.zip</w:t>
      </w:r>
      <w:r>
        <w:rPr>
          <w:color w:val="2E3B38"/>
          <w:sz w:val="21"/>
        </w:rPr>
        <w:t xml:space="preserve"> and the fillable PDFs.</w:t>
      </w:r>
    </w:p>
    <w:p>
      <w:pPr>
        <w:spacing w:after="120"/>
      </w:pPr>
      <w:r>
        <w:rPr>
          <w:b/>
          <w:color w:val="1E3C36"/>
          <w:sz w:val="21"/>
        </w:rPr>
        <w:t>Also outstanding — attorney review.</w:t>
      </w:r>
      <w:r>
        <w:rPr>
          <w:color w:val="2E3B38"/>
          <w:sz w:val="21"/>
        </w:rPr>
        <w:t xml:space="preserve"> 8 documents in the deed-in-lieu workout packet await Texas real estate attorney sign-off. Standing gate: securities-attorney review of collateral-assignment mechanics before any CP document reaches an investor.</w:t>
      </w:r>
    </w:p>
    <w:p>
      <w:pPr>
        <w:spacing w:after="120"/>
      </w:pPr>
      <w:r>
        <w:rPr>
          <w:b/>
          <w:color w:val="1E3C36"/>
          <w:sz w:val="21"/>
        </w:rPr>
        <w:t>Done when:</w:t>
      </w:r>
      <w:r>
        <w:rPr>
          <w:color w:val="2E3B38"/>
          <w:sz w:val="21"/>
        </w:rPr>
        <w:t xml:space="preserve"> every document exists, the regeneration pass is complete, and the attorney has signed off on the workout packet.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STEP 4 — DESIGN THE DATA MODEL, THEN PICK THE TOOL</w:t>
      </w:r>
    </w:p>
    <w:p>
      <w:pPr>
        <w:spacing w:after="120"/>
      </w:pPr>
      <w:r>
        <w:rPr>
          <w:color w:val="2E3B38"/>
          <w:sz w:val="21"/>
        </w:rPr>
        <w:t>Only after Steps 1–3. The design work is mostly already done and sitting in the workflow map — this step is translation, not discovery.</w:t>
      </w:r>
    </w:p>
    <w:p>
      <w:pPr>
        <w:spacing w:after="120"/>
      </w:pPr>
      <w:r>
        <w:rPr>
          <w:b/>
          <w:color w:val="1E3C36"/>
          <w:sz w:val="21"/>
        </w:rPr>
        <w:t>Tables the workflow implies:</w:t>
      </w:r>
      <w:r>
        <w:rPr>
          <w:color w:val="2E3B38"/>
          <w:sz w:val="21"/>
        </w:rPr>
        <w:t xml:space="preserve"> loans · borrowers · guarantors · properties · draws · payments · capital partners · CP participations · conditions · documents · notices.</w:t>
      </w:r>
    </w:p>
    <w:p>
      <w:pPr>
        <w:spacing w:after="120"/>
      </w:pPr>
      <w:r>
        <w:rPr>
          <w:b/>
          <w:color w:val="1E3C36"/>
          <w:sz w:val="21"/>
        </w:rPr>
        <w:t>Tool decision, made at that point and not before: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OPTION</w:t>
            </w:r>
          </w:p>
        </w:tc>
        <w:tc>
          <w:tcPr>
            <w:tcW w:type="dxa" w:w="4896"/>
            <w:shd w:val="clear" w:fill="1E3C36"/>
          </w:tcPr>
          <w:p>
            <w:pPr>
              <w:spacing w:after="20"/>
            </w:pPr>
            <w:r>
              <w:rPr>
                <w:rFonts w:ascii="Century Gothic" w:hAnsi="Century Gothic"/>
                <w:b/>
                <w:color w:val="F0EADE"/>
                <w:sz w:val="15"/>
              </w:rPr>
              <w:t>FITS IF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Airtable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Visual interface Lewis can repair himself, no SQL, built-in forms and automations. Likely the right answer at 4–10 loans.</w:t>
            </w:r>
          </w:p>
        </w:tc>
      </w:tr>
      <w:tr>
        <w:tc>
          <w:tcPr>
            <w:tcW w:type="dxa" w:w="4896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Supabase</w:t>
            </w:r>
          </w:p>
        </w:tc>
        <w:tc>
          <w:tcPr>
            <w:tcW w:type="dxa" w:w="4896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Only if building a real application on top — borrower portal, capital partner dashboard. More control, more maintenance, and Lewis doesn't use it much today.</w:t>
            </w:r>
          </w:p>
        </w:tc>
      </w:tr>
      <w:tr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b/>
                <w:color w:val="1E3C36"/>
                <w:sz w:val="18"/>
              </w:rPr>
              <w:t>Purpose-built platform</w:t>
            </w:r>
          </w:p>
        </w:tc>
        <w:tc>
          <w:tcPr>
            <w:tcW w:type="dxa" w:w="4896"/>
            <w:shd w:val="clear" w:fill="F7F6F3"/>
          </w:tcPr>
          <w:p>
            <w:pPr>
              <w:spacing w:after="20"/>
            </w:pPr>
            <w:r>
              <w:rPr>
                <w:color w:val="2E3B38"/>
                <w:sz w:val="18"/>
              </w:rPr>
              <w:t>Mortgage Automator, Liquid Logics, The Mortgage Office. Ruled out on cost at ~$300+/month. Revisit above ~25 concurrent loans.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color w:val="1E3C36"/>
          <w:sz w:val="21"/>
        </w:rPr>
        <w:t>Automation glue:</w:t>
      </w:r>
      <w:r>
        <w:rPr>
          <w:color w:val="2E3B38"/>
          <w:sz w:val="21"/>
        </w:rPr>
        <w:t xml:space="preserve"> Make.com ($9–16/mo) or n8n self-hosted. Already owned: Docusign, Gmail, Google Drive, QuickBooks, Todoist, Quo.</w:t>
      </w:r>
    </w:p>
    <w:p>
      <w:pPr>
        <w:spacing w:after="120"/>
      </w:pPr>
      <w:r>
        <w:rPr>
          <w:b/>
          <w:color w:val="1E3C36"/>
          <w:sz w:val="21"/>
        </w:rPr>
        <w:t>First thing to automate — the statement engine.</w:t>
      </w:r>
      <w:r>
        <w:rPr>
          <w:color w:val="2E3B38"/>
          <w:sz w:val="21"/>
        </w:rPr>
        <w:t xml:space="preserve"> Daily accrual on a moving balance, borrowers at actual/360 and capital partners at actual/365, every month, for every loan. Everything else in the process is periodic; statements are the treadmill, and a single error compounds across a partner relationship.</w:t>
      </w:r>
    </w:p>
    <w:p>
      <w:pPr>
        <w:spacing w:after="120"/>
      </w:pPr>
      <w:r>
        <w:rPr>
          <w:b/>
          <w:color w:val="1E3C36"/>
          <w:sz w:val="21"/>
        </w:rPr>
        <w:t>Then:</w:t>
      </w:r>
      <w:r>
        <w:rPr>
          <w:color w:val="2E3B38"/>
          <w:sz w:val="21"/>
        </w:rPr>
        <w:t xml:space="preserve"> document generation from tokens → date triggers (maturity, insurance, taxes) → Docusign and pipeline tracking.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SETTLED — DO NOT REOPEN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Interest:</w:t>
      </w:r>
      <w:r>
        <w:rPr>
          <w:color w:val="2E3B38"/>
          <w:sz w:val="21"/>
        </w:rPr>
        <w:t xml:space="preserve"> borrower actual/360, capital partner actual/365. Funding day counts, payoff day does not. 12.000% nominal = 12.167% effective on the borrower side.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Term:</w:t>
      </w:r>
      <w:r>
        <w:rPr>
          <w:color w:val="2E3B38"/>
          <w:sz w:val="21"/>
        </w:rPr>
        <w:t xml:space="preserve"> 9 months, one 3-month extension at 1% of original principal, automatic on payment but unavailable if a default exists.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Fees:</w:t>
      </w:r>
      <w:r>
        <w:rPr>
          <w:color w:val="2E3B38"/>
          <w:sz w:val="21"/>
        </w:rPr>
        <w:t xml:space="preserve"> origination 2 points · admin $499 · background check $120 flat · draw $199 each · late charge 4% after the 10th day · default rate 18%.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No prepaid interest collected at closing.</w:t>
      </w:r>
      <w:r>
        <w:rPr>
          <w:color w:val="2E3B38"/>
          <w:sz w:val="21"/>
        </w:rPr>
        <w:t xml:space="preserve"> Interest accrues on funds actually advanced.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Deed in lieu</w:t>
      </w:r>
      <w:r>
        <w:rPr>
          <w:color w:val="2E3B38"/>
          <w:sz w:val="21"/>
        </w:rPr>
        <w:t xml:space="preserve"> is a post-default workout offer only. Nothing signed at closing. No equity waiver. Foreclosure is the default path.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ARV determined in house.</w:t>
      </w:r>
      <w:r>
        <w:rPr>
          <w:color w:val="2E3B38"/>
          <w:sz w:val="21"/>
        </w:rPr>
        <w:t xml:space="preserve"> Never appears in borrower-facing documents.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Borrower's interest rate never appears in any investor-facing material</w:t>
      </w:r>
      <w:r>
        <w:rPr>
          <w:color w:val="2E3B38"/>
          <w:sz w:val="21"/>
        </w:rPr>
        <w:t>, and the Promissory Note is not enclosed with capital partner correspondence.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i/>
          <w:color w:val="6B7A75"/>
          <w:sz w:val="21"/>
        </w:rPr>
        <w:t>Lazy Dog Capital LLC · Work order as of {{DATE}}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