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drawing>
          <wp:inline xmlns:a="http://schemas.openxmlformats.org/drawingml/2006/main" xmlns:pic="http://schemas.openxmlformats.org/drawingml/2006/picture">
            <wp:extent cx="2011680" cy="651228"/>
            <wp:docPr id="1" name="Picture 1"/>
            <wp:cNvGraphicFramePr>
              <a:graphicFrameLocks noChangeAspect="1"/>
            </wp:cNvGraphicFramePr>
            <a:graphic>
              <a:graphicData uri="http://schemas.openxmlformats.org/drawingml/2006/picture">
                <pic:pic>
                  <pic:nvPicPr>
                    <pic:cNvPr id="0" name="horizontal_t.png"/>
                    <pic:cNvPicPr/>
                  </pic:nvPicPr>
                  <pic:blipFill>
                    <a:blip r:embed="rId10"/>
                    <a:stretch>
                      <a:fillRect/>
                    </a:stretch>
                  </pic:blipFill>
                  <pic:spPr>
                    <a:xfrm>
                      <a:off x="0" y="0"/>
                      <a:ext cx="2011680" cy="651228"/>
                    </a:xfrm>
                    <a:prstGeom prst="rect"/>
                  </pic:spPr>
                </pic:pic>
              </a:graphicData>
            </a:graphic>
          </wp:inline>
        </w:drawing>
      </w:r>
    </w:p>
    <w:p>
      <w:pPr>
        <w:spacing w:after="200"/>
        <w:pBdr>
          <w:bottom w:val="single" w:sz="10" w:space="3" w:color="C89430"/>
        </w:pBdr>
      </w:pPr>
    </w:p>
    <w:p>
      <w:pPr>
        <w:spacing w:after="40"/>
      </w:pPr>
      <w:r>
        <w:rPr>
          <w:rFonts w:ascii="Century Gothic" w:hAnsi="Century Gothic"/>
          <w:b/>
          <w:color w:val="1E3C36"/>
          <w:sz w:val="44"/>
        </w:rPr>
        <w:t>WEBSITE COPY — CORRECTIONS</w:t>
      </w:r>
    </w:p>
    <w:p>
      <w:pPr>
        <w:spacing w:after="120"/>
      </w:pPr>
      <w:r>
        <w:rPr>
          <w:color w:val="2E3B38"/>
          <w:sz w:val="21"/>
        </w:rPr>
        <w:t>Three pages carry terms that no longer match your loan documents. Below is corrected copy, ready to paste.</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/LOAN — "THE LOAN" PAGE</w:t>
      </w:r>
    </w:p>
    <w:p>
      <w:pPr>
        <w:spacing w:before="180" w:after="60"/>
      </w:pPr>
      <w:r>
        <w:rPr>
          <w:rFonts w:ascii="Century Gothic" w:hAnsi="Century Gothic"/>
          <w:b/>
          <w:color w:val="1E3C36"/>
          <w:sz w:val="21"/>
        </w:rPr>
        <w:t>Card 1 — One Loan</w:t>
      </w:r>
    </w:p>
    <w:p>
      <w:pPr>
        <w:spacing w:after="120"/>
      </w:pPr>
      <w:r>
        <w:rPr>
          <w:b/>
          <w:color w:val="1E3C36"/>
          <w:sz w:val="21"/>
        </w:rPr>
        <w:t>Heading:</w:t>
      </w:r>
      <w:r>
        <w:rPr>
          <w:color w:val="2E3B38"/>
          <w:sz w:val="21"/>
        </w:rPr>
        <w:t xml:space="preserve"> Purchase + Rehab Together</w:t>
      </w:r>
    </w:p>
    <w:p>
      <w:pPr>
        <w:spacing w:after="120"/>
      </w:pPr>
      <w:r>
        <w:rPr>
          <w:b/>
          <w:color w:val="1E3C36"/>
          <w:sz w:val="21"/>
        </w:rPr>
        <w:t>Was:</w:t>
      </w:r>
    </w:p>
    <w:p>
      <w:pPr>
        <w:spacing w:after="100"/>
        <w:ind w:left="317"/>
      </w:pPr>
      <w:r>
        <w:rPr>
          <w:color w:val="6B7A75"/>
          <w:sz w:val="19"/>
        </w:rPr>
        <w:t>One loan funds buying the house and renovating it. Your rehab budget — plus a 10% buffer — is committed at closing, so you're never scrambling to fund the work out of pocket.</w:t>
      </w:r>
    </w:p>
    <w:p>
      <w:pPr>
        <w:spacing w:after="120"/>
      </w:pPr>
      <w:r>
        <w:rPr>
          <w:b/>
          <w:color w:val="1E3C36"/>
          <w:sz w:val="21"/>
        </w:rPr>
        <w:t>Now:</w:t>
      </w:r>
    </w:p>
    <w:p>
      <w:pPr>
        <w:spacing w:after="100"/>
        <w:ind w:left="317"/>
      </w:pPr>
      <w:r>
        <w:rPr>
          <w:color w:val="6B7A75"/>
          <w:sz w:val="19"/>
        </w:rPr>
        <w:t>One loan funds buying the house and renovating it. Part funds at closing to buy the property, and the rest is held back and released to you as the work gets done.</w:t>
      </w:r>
    </w:p>
    <w:p>
      <w:pPr>
        <w:spacing w:after="120"/>
      </w:pPr>
      <w:r>
        <w:rPr>
          <w:b/>
          <w:color w:val="1E3C36"/>
          <w:sz w:val="21"/>
        </w:rPr>
        <w:t>Tags:</w:t>
      </w:r>
      <w:r>
        <w:rPr>
          <w:color w:val="2E3B38"/>
          <w:sz w:val="21"/>
        </w:rPr>
        <w:t xml:space="preserve"> Single-family fix &amp; flip · Dallas–Fort Worth · First-timers welcome</w:t>
      </w:r>
    </w:p>
    <w:p>
      <w:pPr>
        <w:spacing w:after="120"/>
        <w:pBdr>
          <w:bottom w:val="single" w:sz="4" w:space="3" w:color="DFD8C8"/>
        </w:pBdr>
      </w:pPr>
    </w:p>
    <w:p>
      <w:pPr>
        <w:spacing w:before="180" w:after="60"/>
      </w:pPr>
      <w:r>
        <w:rPr>
          <w:rFonts w:ascii="Century Gothic" w:hAnsi="Century Gothic"/>
          <w:b/>
          <w:color w:val="1E3C36"/>
          <w:sz w:val="21"/>
        </w:rPr>
        <w:t>Card 2 — Sized Conservatively</w:t>
      </w:r>
    </w:p>
    <w:p>
      <w:pPr>
        <w:spacing w:after="120"/>
      </w:pPr>
      <w:r>
        <w:rPr>
          <w:b/>
          <w:color w:val="1E3C36"/>
          <w:sz w:val="21"/>
        </w:rPr>
        <w:t>Was:</w:t>
      </w:r>
    </w:p>
    <w:p>
      <w:pPr>
        <w:spacing w:after="100"/>
        <w:ind w:left="317"/>
      </w:pPr>
      <w:r>
        <w:rPr>
          <w:color w:val="6B7A75"/>
          <w:sz w:val="19"/>
        </w:rPr>
        <w:t>Every loan is capped at 80% of the home's after-repair value — or your actual cost basis, whichever is lower. Conservative sizing protects your margin as much as our capital.</w:t>
      </w:r>
    </w:p>
    <w:p>
      <w:pPr>
        <w:spacing w:after="120"/>
      </w:pPr>
      <w:r>
        <w:rPr>
          <w:b/>
          <w:color w:val="1E3C36"/>
          <w:sz w:val="21"/>
        </w:rPr>
        <w:t>Now:</w:t>
      </w:r>
    </w:p>
    <w:p>
      <w:pPr>
        <w:spacing w:after="100"/>
        <w:ind w:left="317"/>
      </w:pPr>
      <w:r>
        <w:rPr>
          <w:color w:val="6B7A75"/>
          <w:sz w:val="19"/>
        </w:rPr>
        <w:t>Every loan is capped at 80% of the home's after-repair value. That one number sets your loan. Sizing against the finished value, rather than what you paid, is what leaves room in the deal for both of us.</w:t>
      </w:r>
    </w:p>
    <w:p>
      <w:pPr>
        <w:spacing w:after="120"/>
      </w:pPr>
      <w:r>
        <w:rPr>
          <w:b/>
          <w:color w:val="1E3C36"/>
          <w:sz w:val="21"/>
        </w:rPr>
        <w:t>Tags:</w:t>
      </w:r>
      <w:r>
        <w:rPr>
          <w:color w:val="2E3B38"/>
          <w:sz w:val="21"/>
        </w:rPr>
        <w:t xml:space="preserve"> 80% of ARV max · 10% down payment · We verify the comps</w:t>
      </w:r>
    </w:p>
    <w:p>
      <w:pPr>
        <w:spacing w:after="120"/>
        <w:pBdr>
          <w:bottom w:val="single" w:sz="4" w:space="3" w:color="DFD8C8"/>
        </w:pBdr>
      </w:pPr>
    </w:p>
    <w:p>
      <w:pPr>
        <w:spacing w:before="180" w:after="60"/>
      </w:pPr>
      <w:r>
        <w:rPr>
          <w:rFonts w:ascii="Century Gothic" w:hAnsi="Century Gothic"/>
          <w:b/>
          <w:color w:val="1E3C36"/>
          <w:sz w:val="21"/>
        </w:rPr>
        <w:t>Card 3 — Rehab Draws  (biggest correction)</w:t>
      </w:r>
    </w:p>
    <w:p>
      <w:pPr>
        <w:spacing w:after="120"/>
      </w:pPr>
      <w:r>
        <w:rPr>
          <w:b/>
          <w:color w:val="1E3C36"/>
          <w:sz w:val="21"/>
        </w:rPr>
        <w:t>Heading:</w:t>
      </w:r>
      <w:r>
        <w:rPr>
          <w:color w:val="2E3B38"/>
          <w:sz w:val="21"/>
        </w:rPr>
        <w:t xml:space="preserve"> Was "Staged Rehab Draws" → </w:t>
      </w:r>
      <w:r>
        <w:rPr>
          <w:b/>
          <w:color w:val="1E3C36"/>
          <w:sz w:val="21"/>
        </w:rPr>
        <w:t>"Rehab Draws"</w:t>
      </w:r>
    </w:p>
    <w:p>
      <w:pPr>
        <w:spacing w:after="120"/>
      </w:pPr>
      <w:r>
        <w:rPr>
          <w:b/>
          <w:color w:val="1E3C36"/>
          <w:sz w:val="21"/>
        </w:rPr>
        <w:t>Was:</w:t>
      </w:r>
    </w:p>
    <w:p>
      <w:pPr>
        <w:spacing w:after="100"/>
        <w:ind w:left="317"/>
      </w:pPr>
      <w:r>
        <w:rPr>
          <w:color w:val="6B7A75"/>
          <w:sz w:val="19"/>
        </w:rPr>
        <w:t>Renovation money releases as completed work is verified — in up to five draws across the project. It keeps cash flowing to the job and the budget honest.</w:t>
      </w:r>
    </w:p>
    <w:p>
      <w:pPr>
        <w:spacing w:after="120"/>
      </w:pPr>
      <w:r>
        <w:rPr>
          <w:color w:val="2E3B38"/>
          <w:sz w:val="21"/>
        </w:rPr>
        <w:t>&gt;</w:t>
      </w:r>
    </w:p>
    <w:p>
      <w:pPr>
        <w:spacing w:after="100"/>
        <w:ind w:left="317"/>
      </w:pPr>
      <w:r>
        <w:rPr>
          <w:i/>
          <w:color w:val="6B7A75"/>
          <w:sz w:val="19"/>
        </w:rPr>
        <w:t>Tags: Up to 5 draws · Fast verification · Builder-run inspections</w:t>
      </w:r>
    </w:p>
    <w:p>
      <w:pPr>
        <w:spacing w:after="120"/>
      </w:pPr>
      <w:r>
        <w:rPr>
          <w:b/>
          <w:color w:val="1E3C36"/>
          <w:sz w:val="21"/>
        </w:rPr>
        <w:t>Now:</w:t>
      </w:r>
    </w:p>
    <w:p>
      <w:pPr>
        <w:spacing w:after="100"/>
        <w:ind w:left="317"/>
      </w:pPr>
      <w:r>
        <w:rPr>
          <w:color w:val="6B7A75"/>
          <w:sz w:val="19"/>
        </w:rPr>
        <w:t>You pay for the work, then we reimburse you. Request a draw whenever you've finished some line items — no set schedule, no cap on how many. Send a bank statement showing the money left your account, we come look at the work in person, and we fund it.</w:t>
      </w:r>
    </w:p>
    <w:p>
      <w:pPr>
        <w:spacing w:after="120"/>
      </w:pPr>
      <w:r>
        <w:rPr>
          <w:color w:val="2E3B38"/>
          <w:sz w:val="21"/>
        </w:rPr>
        <w:t>&gt;</w:t>
      </w:r>
    </w:p>
    <w:p>
      <w:pPr>
        <w:spacing w:after="100"/>
        <w:ind w:left="317"/>
      </w:pPr>
      <w:r>
        <w:rPr>
          <w:i/>
          <w:color w:val="6B7A75"/>
          <w:sz w:val="19"/>
        </w:rPr>
        <w:t>Tags: No draw limit · $5,000 minimum · We inspect in person</w:t>
      </w:r>
    </w:p>
    <w:p>
      <w:pPr>
        <w:spacing w:after="120"/>
        <w:pBdr>
          <w:bottom w:val="single" w:sz="4" w:space="3" w:color="DFD8C8"/>
        </w:pBdr>
      </w:pPr>
    </w:p>
    <w:p>
      <w:pPr>
        <w:spacing w:before="180" w:after="60"/>
      </w:pPr>
      <w:r>
        <w:rPr>
          <w:rFonts w:ascii="Century Gothic" w:hAnsi="Century Gothic"/>
          <w:b/>
          <w:color w:val="1E3C36"/>
          <w:sz w:val="21"/>
        </w:rPr>
        <w:t>Card 4 — Close Fast, Exit Free</w:t>
      </w:r>
    </w:p>
    <w:p>
      <w:pPr>
        <w:spacing w:after="120"/>
      </w:pPr>
      <w:r>
        <w:rPr>
          <w:b/>
          <w:color w:val="1E3C36"/>
          <w:sz w:val="21"/>
        </w:rPr>
        <w:t>Was:</w:t>
      </w:r>
    </w:p>
    <w:p>
      <w:pPr>
        <w:spacing w:after="100"/>
        <w:ind w:left="317"/>
      </w:pPr>
      <w:r>
        <w:rPr>
          <w:color w:val="6B7A75"/>
          <w:sz w:val="19"/>
        </w:rPr>
        <w:t>Loans close at a title company, cleanly and on record — in days, not months. Pay off any time with no prepayment penalty; sell early and you simply pay less interest.</w:t>
      </w:r>
    </w:p>
    <w:p>
      <w:pPr>
        <w:spacing w:after="120"/>
      </w:pPr>
      <w:r>
        <w:rPr>
          <w:b/>
          <w:color w:val="1E3C36"/>
          <w:sz w:val="21"/>
        </w:rPr>
        <w:t>Now:</w:t>
      </w:r>
      <w:r>
        <w:rPr>
          <w:color w:val="2E3B38"/>
          <w:sz w:val="21"/>
        </w:rPr>
        <w:t xml:space="preserve"> </w:t>
      </w:r>
      <w:r>
        <w:rPr>
          <w:i/>
          <w:color w:val="6B7A75"/>
          <w:sz w:val="21"/>
        </w:rPr>
        <w:t>(unchanged, but add the term)</w:t>
      </w:r>
    </w:p>
    <w:p>
      <w:pPr>
        <w:spacing w:after="100"/>
        <w:ind w:left="317"/>
      </w:pPr>
      <w:r>
        <w:rPr>
          <w:color w:val="6B7A75"/>
          <w:sz w:val="19"/>
        </w:rPr>
        <w:t>Loans close at a title company, cleanly and on record — in days, not months. Nine-month term with one three-month extension available. Pay off any time with no prepayment penalty; sell early and you simply pay less interest.</w:t>
      </w:r>
    </w:p>
    <w:p>
      <w:pPr>
        <w:spacing w:after="120"/>
      </w:pPr>
      <w:r>
        <w:rPr>
          <w:b/>
          <w:color w:val="1E3C36"/>
          <w:sz w:val="21"/>
        </w:rPr>
        <w:t>Tags:</w:t>
      </w:r>
      <w:r>
        <w:rPr>
          <w:color w:val="2E3B38"/>
          <w:sz w:val="21"/>
        </w:rPr>
        <w:t xml:space="preserve"> 9-month term · Recorded at title · Payable anytime</w:t>
      </w:r>
    </w:p>
    <w:p>
      <w:pPr>
        <w:spacing w:after="120"/>
        <w:pBdr>
          <w:bottom w:val="single" w:sz="4" w:space="3" w:color="DFD8C8"/>
        </w:pBdr>
      </w:pPr>
    </w:p>
    <w:p>
      <w:pPr>
        <w:spacing w:before="180" w:after="60"/>
      </w:pPr>
      <w:r>
        <w:rPr>
          <w:rFonts w:ascii="Century Gothic" w:hAnsi="Century Gothic"/>
          <w:b/>
          <w:color w:val="1E3C36"/>
          <w:sz w:val="21"/>
        </w:rPr>
        <w:t>New card worth adding — Term</w:t>
      </w:r>
    </w:p>
    <w:p>
      <w:pPr>
        <w:spacing w:after="120"/>
      </w:pPr>
      <w:r>
        <w:rPr>
          <w:b/>
          <w:color w:val="1E3C36"/>
          <w:sz w:val="21"/>
        </w:rPr>
        <w:t>Heading:</w:t>
      </w:r>
      <w:r>
        <w:rPr>
          <w:color w:val="2E3B38"/>
          <w:sz w:val="21"/>
        </w:rPr>
        <w:t xml:space="preserve"> Nine Months, Plus Room</w:t>
      </w:r>
    </w:p>
    <w:p>
      <w:pPr>
        <w:spacing w:after="100"/>
        <w:ind w:left="317"/>
      </w:pPr>
      <w:r>
        <w:rPr>
          <w:color w:val="6B7A75"/>
          <w:sz w:val="19"/>
        </w:rPr>
        <w:t>Nine months to buy it, fix it, and sell it. If you need longer, one three-month extension is available for 1% of the loan amount, as long as you're not in default. Ask before maturity, not after.</w:t>
      </w:r>
    </w:p>
    <w:p>
      <w:pPr>
        <w:spacing w:after="120"/>
      </w:pPr>
      <w:r>
        <w:rPr>
          <w:color w:val="2E3B38"/>
          <w:sz w:val="21"/>
        </w:rPr>
        <w:t>&gt;</w:t>
      </w:r>
    </w:p>
    <w:p>
      <w:pPr>
        <w:spacing w:after="100"/>
        <w:ind w:left="317"/>
      </w:pPr>
      <w:r>
        <w:rPr>
          <w:i/>
          <w:color w:val="6B7A75"/>
          <w:sz w:val="19"/>
        </w:rPr>
        <w:t>Tags: 9 months · One 3-month extension · Interest-only payments</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 — HOMEPAGE</w:t>
      </w:r>
    </w:p>
    <w:p>
      <w:pPr>
        <w:spacing w:after="120"/>
      </w:pPr>
      <w:r>
        <w:rPr>
          <w:b/>
          <w:color w:val="1E3C36"/>
          <w:sz w:val="21"/>
        </w:rPr>
        <w:t>"How Your Loan Works" block</w:t>
      </w:r>
    </w:p>
    <w:tbl>
      <w:tblPr>
        <w:tblStyle w:val="TableGrid"/>
        <w:tblW w:type="auto" w:w="0"/>
        <w:jc w:val="left"/>
        <w:tblLook w:firstColumn="1" w:firstRow="1" w:lastColumn="0" w:lastRow="0" w:noHBand="0" w:noVBand="1" w:val="04A0"/>
      </w:tblPr>
      <w:tblGrid>
        <w:gridCol w:w="3264"/>
        <w:gridCol w:w="3264"/>
        <w:gridCol w:w="3264"/>
      </w:tblGrid>
      <w:tr>
        <w:tc>
          <w:tcPr>
            <w:tcW w:type="dxa" w:w="3264"/>
            <w:shd w:val="clear" w:fill="1E3C36"/>
          </w:tcPr>
          <w:p>
            <w:pPr>
              <w:spacing w:after="20"/>
            </w:pPr>
            <w:r>
              <w:rPr>
                <w:rFonts w:ascii="Century Gothic" w:hAnsi="Century Gothic"/>
                <w:b/>
                <w:color w:val="F0EADE"/>
                <w:sz w:val="15"/>
              </w:rPr>
              <w:t>LINE</w:t>
            </w:r>
          </w:p>
        </w:tc>
        <w:tc>
          <w:tcPr>
            <w:tcW w:type="dxa" w:w="3264"/>
            <w:shd w:val="clear" w:fill="1E3C36"/>
          </w:tcPr>
          <w:p>
            <w:pPr>
              <w:spacing w:after="20"/>
            </w:pPr>
            <w:r>
              <w:rPr>
                <w:rFonts w:ascii="Century Gothic" w:hAnsi="Century Gothic"/>
                <w:b/>
                <w:color w:val="F0EADE"/>
                <w:sz w:val="15"/>
              </w:rPr>
              <w:t>WAS</w:t>
            </w:r>
          </w:p>
        </w:tc>
        <w:tc>
          <w:tcPr>
            <w:tcW w:type="dxa" w:w="3264"/>
            <w:shd w:val="clear" w:fill="1E3C36"/>
          </w:tcPr>
          <w:p>
            <w:pPr>
              <w:spacing w:after="20"/>
            </w:pPr>
            <w:r>
              <w:rPr>
                <w:rFonts w:ascii="Century Gothic" w:hAnsi="Century Gothic"/>
                <w:b/>
                <w:color w:val="F0EADE"/>
                <w:sz w:val="15"/>
              </w:rPr>
              <w:t>NOW</w:t>
            </w:r>
          </w:p>
        </w:tc>
      </w:tr>
      <w:tr>
        <w:tc>
          <w:tcPr>
            <w:tcW w:type="dxa" w:w="3264"/>
            <w:shd w:val="clear" w:fill="F7F6F3"/>
          </w:tcPr>
          <w:p>
            <w:pPr>
              <w:spacing w:after="20"/>
            </w:pPr>
            <w:r>
              <w:rPr>
                <w:color w:val="2E3B38"/>
                <w:sz w:val="18"/>
              </w:rPr>
              <w:t>Covers</w:t>
            </w:r>
          </w:p>
        </w:tc>
        <w:tc>
          <w:tcPr>
            <w:tcW w:type="dxa" w:w="3264"/>
            <w:shd w:val="clear" w:fill="F7F6F3"/>
          </w:tcPr>
          <w:p>
            <w:pPr>
              <w:spacing w:after="20"/>
            </w:pPr>
            <w:r>
              <w:rPr>
                <w:color w:val="2E3B38"/>
                <w:sz w:val="18"/>
              </w:rPr>
              <w:t>Purchase + full rehab</w:t>
            </w:r>
          </w:p>
        </w:tc>
        <w:tc>
          <w:tcPr>
            <w:tcW w:type="dxa" w:w="3264"/>
            <w:shd w:val="clear" w:fill="F7F6F3"/>
          </w:tcPr>
          <w:p>
            <w:pPr>
              <w:spacing w:after="20"/>
            </w:pPr>
            <w:r>
              <w:rPr>
                <w:i/>
                <w:color w:val="6B7A75"/>
                <w:sz w:val="18"/>
              </w:rPr>
              <w:t>(unchanged)</w:t>
            </w:r>
          </w:p>
        </w:tc>
      </w:tr>
      <w:tr>
        <w:tc>
          <w:tcPr>
            <w:tcW w:type="dxa" w:w="3264"/>
          </w:tcPr>
          <w:p>
            <w:pPr>
              <w:spacing w:after="20"/>
            </w:pPr>
            <w:r>
              <w:rPr>
                <w:color w:val="2E3B38"/>
                <w:sz w:val="18"/>
              </w:rPr>
              <w:t>Loan cap</w:t>
            </w:r>
          </w:p>
        </w:tc>
        <w:tc>
          <w:tcPr>
            <w:tcW w:type="dxa" w:w="3264"/>
          </w:tcPr>
          <w:p>
            <w:pPr>
              <w:spacing w:after="20"/>
            </w:pPr>
            <w:r>
              <w:rPr>
                <w:color w:val="2E3B38"/>
                <w:sz w:val="18"/>
              </w:rPr>
              <w:t>80% of after-repair value</w:t>
            </w:r>
          </w:p>
        </w:tc>
        <w:tc>
          <w:tcPr>
            <w:tcW w:type="dxa" w:w="3264"/>
          </w:tcPr>
          <w:p>
            <w:pPr>
              <w:spacing w:after="20"/>
            </w:pPr>
            <w:r>
              <w:rPr>
                <w:i/>
                <w:color w:val="6B7A75"/>
                <w:sz w:val="18"/>
              </w:rPr>
              <w:t>(unchanged)</w:t>
            </w:r>
          </w:p>
        </w:tc>
      </w:tr>
      <w:tr>
        <w:tc>
          <w:tcPr>
            <w:tcW w:type="dxa" w:w="3264"/>
            <w:shd w:val="clear" w:fill="F7F6F3"/>
          </w:tcPr>
          <w:p>
            <w:pPr>
              <w:spacing w:after="20"/>
            </w:pPr>
            <w:r>
              <w:rPr>
                <w:color w:val="2E3B38"/>
                <w:sz w:val="18"/>
              </w:rPr>
              <w:t>You bring</w:t>
            </w:r>
          </w:p>
        </w:tc>
        <w:tc>
          <w:tcPr>
            <w:tcW w:type="dxa" w:w="3264"/>
            <w:shd w:val="clear" w:fill="F7F6F3"/>
          </w:tcPr>
          <w:p>
            <w:pPr>
              <w:spacing w:after="20"/>
            </w:pPr>
            <w:r>
              <w:rPr>
                <w:color w:val="2E3B38"/>
                <w:sz w:val="18"/>
              </w:rPr>
              <w:t>10%+ down payment, based on purchase price</w:t>
            </w:r>
          </w:p>
        </w:tc>
        <w:tc>
          <w:tcPr>
            <w:tcW w:type="dxa" w:w="3264"/>
            <w:shd w:val="clear" w:fill="F7F6F3"/>
          </w:tcPr>
          <w:p>
            <w:pPr>
              <w:spacing w:after="20"/>
            </w:pPr>
            <w:r>
              <w:rPr>
                <w:b/>
                <w:color w:val="1E3C36"/>
                <w:sz w:val="18"/>
              </w:rPr>
              <w:t>10% down payment</w:t>
            </w:r>
            <w:r>
              <w:rPr>
                <w:color w:val="2E3B38"/>
                <w:sz w:val="18"/>
              </w:rPr>
              <w:t xml:space="preserve"> — based on purchase price</w:t>
            </w:r>
          </w:p>
        </w:tc>
      </w:tr>
      <w:tr>
        <w:tc>
          <w:tcPr>
            <w:tcW w:type="dxa" w:w="3264"/>
          </w:tcPr>
          <w:p>
            <w:pPr>
              <w:spacing w:after="20"/>
            </w:pPr>
            <w:r>
              <w:rPr>
                <w:color w:val="2E3B38"/>
                <w:sz w:val="18"/>
              </w:rPr>
              <w:t>Rehab funds</w:t>
            </w:r>
          </w:p>
        </w:tc>
        <w:tc>
          <w:tcPr>
            <w:tcW w:type="dxa" w:w="3264"/>
          </w:tcPr>
          <w:p>
            <w:pPr>
              <w:spacing w:after="20"/>
            </w:pPr>
            <w:r>
              <w:rPr>
                <w:color w:val="2E3B38"/>
                <w:sz w:val="18"/>
              </w:rPr>
              <w:t>Staged draws, as work verifies</w:t>
            </w:r>
          </w:p>
        </w:tc>
        <w:tc>
          <w:tcPr>
            <w:tcW w:type="dxa" w:w="3264"/>
          </w:tcPr>
          <w:p>
            <w:pPr>
              <w:spacing w:after="20"/>
            </w:pPr>
            <w:r>
              <w:rPr>
                <w:b/>
                <w:color w:val="1E3C36"/>
                <w:sz w:val="18"/>
              </w:rPr>
              <w:t>Draws, reimbursed as work completes</w:t>
            </w:r>
          </w:p>
        </w:tc>
      </w:tr>
      <w:tr>
        <w:tc>
          <w:tcPr>
            <w:tcW w:type="dxa" w:w="3264"/>
            <w:shd w:val="clear" w:fill="F7F6F3"/>
          </w:tcPr>
          <w:p>
            <w:pPr>
              <w:spacing w:after="20"/>
            </w:pPr>
            <w:r>
              <w:rPr>
                <w:color w:val="2E3B38"/>
                <w:sz w:val="18"/>
              </w:rPr>
              <w:t>Term</w:t>
            </w:r>
          </w:p>
        </w:tc>
        <w:tc>
          <w:tcPr>
            <w:tcW w:type="dxa" w:w="3264"/>
            <w:shd w:val="clear" w:fill="F7F6F3"/>
          </w:tcPr>
          <w:p>
            <w:pPr>
              <w:spacing w:after="20"/>
            </w:pPr>
            <w:r>
              <w:rPr>
                <w:i/>
                <w:color w:val="6B7A75"/>
                <w:sz w:val="18"/>
              </w:rPr>
              <w:t>(not shown)</w:t>
            </w:r>
          </w:p>
        </w:tc>
        <w:tc>
          <w:tcPr>
            <w:tcW w:type="dxa" w:w="3264"/>
            <w:shd w:val="clear" w:fill="F7F6F3"/>
          </w:tcPr>
          <w:p>
            <w:pPr>
              <w:spacing w:after="20"/>
            </w:pPr>
            <w:r>
              <w:rPr>
                <w:b/>
                <w:color w:val="1E3C36"/>
                <w:sz w:val="18"/>
              </w:rPr>
              <w:t>9 months, one 3-month extension</w:t>
            </w:r>
          </w:p>
        </w:tc>
      </w:tr>
      <w:tr>
        <w:tc>
          <w:tcPr>
            <w:tcW w:type="dxa" w:w="3264"/>
          </w:tcPr>
          <w:p>
            <w:pPr>
              <w:spacing w:after="20"/>
            </w:pPr>
            <w:r>
              <w:rPr>
                <w:color w:val="2E3B38"/>
                <w:sz w:val="18"/>
              </w:rPr>
              <w:t>Early payoff</w:t>
            </w:r>
          </w:p>
        </w:tc>
        <w:tc>
          <w:tcPr>
            <w:tcW w:type="dxa" w:w="3264"/>
          </w:tcPr>
          <w:p>
            <w:pPr>
              <w:spacing w:after="20"/>
            </w:pPr>
            <w:r>
              <w:rPr>
                <w:color w:val="2E3B38"/>
                <w:sz w:val="18"/>
              </w:rPr>
              <w:t>Anytime — no penalty</w:t>
            </w:r>
          </w:p>
        </w:tc>
        <w:tc>
          <w:tcPr>
            <w:tcW w:type="dxa" w:w="3264"/>
          </w:tcPr>
          <w:p>
            <w:pPr>
              <w:spacing w:after="20"/>
            </w:pPr>
            <w:r>
              <w:rPr>
                <w:i/>
                <w:color w:val="6B7A75"/>
                <w:sz w:val="18"/>
              </w:rPr>
              <w:t>(unchanged)</w:t>
            </w:r>
          </w:p>
        </w:tc>
      </w:tr>
    </w:tbl>
    <w:p>
      <w:pPr>
        <w:spacing w:after="80"/>
      </w:pPr>
    </w:p>
    <w:p>
      <w:pPr>
        <w:spacing w:after="120"/>
      </w:pPr>
      <w:r>
        <w:rPr>
          <w:color w:val="2E3B38"/>
          <w:sz w:val="21"/>
        </w:rPr>
        <w:t>The "You bring" line says "10%+" — the plus implies it could be more. It's 10%.</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/FAQ — REPLACE WITH THE REBUILT BORROWER FAQ</w:t>
      </w:r>
    </w:p>
    <w:p>
      <w:pPr>
        <w:spacing w:after="120"/>
      </w:pPr>
      <w:r>
        <w:rPr>
          <w:color w:val="2E3B38"/>
          <w:sz w:val="21"/>
        </w:rPr>
        <w:t>The updated FAQ is a separate file. Four answers on the live page are wrong or incomplete:</w:t>
      </w:r>
    </w:p>
    <w:tbl>
      <w:tblPr>
        <w:tblStyle w:val="TableGrid"/>
        <w:tblW w:type="auto" w:w="0"/>
        <w:jc w:val="left"/>
        <w:tblLook w:firstColumn="1" w:firstRow="1" w:lastColumn="0" w:lastRow="0" w:noHBand="0" w:noVBand="1" w:val="04A0"/>
      </w:tblPr>
      <w:tblGrid>
        <w:gridCol w:w="4896"/>
        <w:gridCol w:w="4896"/>
      </w:tblGrid>
      <w:tr>
        <w:tc>
          <w:tcPr>
            <w:tcW w:type="dxa" w:w="4896"/>
            <w:shd w:val="clear" w:fill="1E3C36"/>
          </w:tcPr>
          <w:p>
            <w:pPr>
              <w:spacing w:after="20"/>
            </w:pPr>
            <w:r>
              <w:rPr>
                <w:rFonts w:ascii="Century Gothic" w:hAnsi="Century Gothic"/>
                <w:b/>
                <w:color w:val="F0EADE"/>
                <w:sz w:val="15"/>
              </w:rPr>
              <w:t>QUESTION</w:t>
            </w:r>
          </w:p>
        </w:tc>
        <w:tc>
          <w:tcPr>
            <w:tcW w:type="dxa" w:w="4896"/>
            <w:shd w:val="clear" w:fill="1E3C36"/>
          </w:tcPr>
          <w:p>
            <w:pPr>
              <w:spacing w:after="20"/>
            </w:pPr>
            <w:r>
              <w:rPr>
                <w:rFonts w:ascii="Century Gothic" w:hAnsi="Century Gothic"/>
                <w:b/>
                <w:color w:val="F0EADE"/>
                <w:sz w:val="15"/>
              </w:rPr>
              <w:t>PROBLEM</w:t>
            </w:r>
          </w:p>
        </w:tc>
      </w:tr>
      <w:tr>
        <w:tc>
          <w:tcPr>
            <w:tcW w:type="dxa" w:w="4896"/>
            <w:shd w:val="clear" w:fill="F7F6F3"/>
          </w:tcPr>
          <w:p>
            <w:pPr>
              <w:spacing w:after="20"/>
            </w:pPr>
            <w:r>
              <w:rPr>
                <w:color w:val="2E3B38"/>
                <w:sz w:val="18"/>
              </w:rPr>
              <w:t>How much can I borrow?</w:t>
            </w:r>
          </w:p>
        </w:tc>
        <w:tc>
          <w:tcPr>
            <w:tcW w:type="dxa" w:w="4896"/>
            <w:shd w:val="clear" w:fill="F7F6F3"/>
          </w:tcPr>
          <w:p>
            <w:pPr>
              <w:spacing w:after="20"/>
            </w:pPr>
            <w:r>
              <w:rPr>
                <w:color w:val="2E3B38"/>
                <w:sz w:val="18"/>
              </w:rPr>
              <w:t>The "lower of two numbers" formula isn't your math. It's 80% of ARV.</w:t>
            </w:r>
          </w:p>
        </w:tc>
      </w:tr>
      <w:tr>
        <w:tc>
          <w:tcPr>
            <w:tcW w:type="dxa" w:w="4896"/>
          </w:tcPr>
          <w:p>
            <w:pPr>
              <w:spacing w:after="20"/>
            </w:pPr>
            <w:r>
              <w:rPr>
                <w:color w:val="2E3B38"/>
                <w:sz w:val="18"/>
              </w:rPr>
              <w:t>How do rehab draws work?</w:t>
            </w:r>
          </w:p>
        </w:tc>
        <w:tc>
          <w:tcPr>
            <w:tcW w:type="dxa" w:w="4896"/>
          </w:tcPr>
          <w:p>
            <w:pPr>
              <w:spacing w:after="20"/>
            </w:pPr>
            <w:r>
              <w:rPr>
                <w:color w:val="2E3B38"/>
                <w:sz w:val="18"/>
              </w:rPr>
              <w:t>Describes advance-on-verification in up to five draws. You run reimbursement, ad hoc, unlimited draws.</w:t>
            </w:r>
          </w:p>
        </w:tc>
      </w:tr>
      <w:tr>
        <w:tc>
          <w:tcPr>
            <w:tcW w:type="dxa" w:w="4896"/>
            <w:shd w:val="clear" w:fill="F7F6F3"/>
          </w:tcPr>
          <w:p>
            <w:pPr>
              <w:spacing w:after="20"/>
            </w:pPr>
            <w:r>
              <w:rPr>
                <w:color w:val="2E3B38"/>
                <w:sz w:val="18"/>
              </w:rPr>
              <w:t>What do you need from me to look at a deal?</w:t>
            </w:r>
          </w:p>
        </w:tc>
        <w:tc>
          <w:tcPr>
            <w:tcW w:type="dxa" w:w="4896"/>
            <w:shd w:val="clear" w:fill="F7F6F3"/>
          </w:tcPr>
          <w:p>
            <w:pPr>
              <w:spacing w:after="20"/>
            </w:pPr>
            <w:r>
              <w:rPr>
                <w:color w:val="2E3B38"/>
                <w:sz w:val="18"/>
              </w:rPr>
              <w:t>Says four things; your intake form asks eight.</w:t>
            </w:r>
          </w:p>
        </w:tc>
      </w:tr>
      <w:tr>
        <w:tc>
          <w:tcPr>
            <w:tcW w:type="dxa" w:w="4896"/>
          </w:tcPr>
          <w:p>
            <w:pPr>
              <w:spacing w:after="20"/>
            </w:pPr>
            <w:r>
              <w:rPr>
                <w:color w:val="2E3B38"/>
                <w:sz w:val="18"/>
              </w:rPr>
              <w:t>What does the loan cost?</w:t>
            </w:r>
          </w:p>
        </w:tc>
        <w:tc>
          <w:tcPr>
            <w:tcW w:type="dxa" w:w="4896"/>
          </w:tcPr>
          <w:p>
            <w:pPr>
              <w:spacing w:after="20"/>
            </w:pPr>
            <w:r>
              <w:rPr>
                <w:color w:val="2E3B38"/>
                <w:sz w:val="18"/>
              </w:rPr>
              <w:t>"Set deal by deal" — now stated openly as 12% and 2 points.</w:t>
            </w:r>
          </w:p>
        </w:tc>
      </w:tr>
    </w:tbl>
    <w:p>
      <w:pPr>
        <w:spacing w:after="80"/>
      </w:pPr>
    </w:p>
    <w:p>
      <w:pPr>
        <w:spacing w:after="120"/>
      </w:pPr>
      <w:r>
        <w:rPr>
          <w:b/>
          <w:color w:val="1E3C36"/>
          <w:sz w:val="21"/>
        </w:rPr>
        <w:t>Keep as-is:</w:t>
      </w:r>
      <w:r>
        <w:rPr>
          <w:color w:val="2E3B38"/>
          <w:sz w:val="21"/>
        </w:rPr>
        <w:t xml:space="preserve"> the points-rollup answer. That's a real term and it's the only place it was written down. It's now in the FAQ and should go into the Loan Proposal and program standards too.</w:t>
      </w:r>
    </w:p>
    <w:p>
      <w:pPr>
        <w:spacing w:after="120"/>
      </w:pPr>
      <w:r>
        <w:rPr>
          <w:b/>
          <w:color w:val="1E3C36"/>
          <w:sz w:val="21"/>
        </w:rPr>
        <w:t>New answers in the rebuilt FAQ:</w:t>
      </w:r>
      <w:r>
        <w:rPr>
          <w:color w:val="2E3B38"/>
          <w:sz w:val="21"/>
        </w:rPr>
        <w:t xml:space="preserve"> loan length · how interest is calculated · payment due dates · the initial $5,000 draw option · the final draw · borrower obligations during the loan · what to do when a project goes sideways.</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PROGRAM STANDARDS — ONE ADDITION</w:t>
      </w:r>
    </w:p>
    <w:p>
      <w:pPr>
        <w:spacing w:after="120"/>
      </w:pPr>
      <w:r>
        <w:rPr>
          <w:rFonts w:ascii="Consolas" w:hAnsi="Consolas"/>
          <w:color w:val="2E3B38"/>
          <w:sz w:val="21"/>
        </w:rPr>
        <w:t>POINTS_ROLLED_RATE</w:t>
      </w:r>
      <w:r>
        <w:rPr>
          <w:color w:val="2E3B38"/>
          <w:sz w:val="21"/>
        </w:rPr>
        <w:t xml:space="preserve"> = </w:t>
      </w:r>
      <w:r>
        <w:rPr>
          <w:b/>
          <w:color w:val="1E3C36"/>
          <w:sz w:val="21"/>
        </w:rPr>
        <w:t>12.25%</w:t>
      </w:r>
      <w:r>
        <w:rPr>
          <w:color w:val="2E3B38"/>
          <w:sz w:val="21"/>
        </w:rPr>
        <w:t xml:space="preserve"> when origination points are financed into the loan rather than paid at closing.</w:t>
      </w:r>
    </w:p>
    <w:p>
      <w:pPr>
        <w:spacing w:after="120"/>
      </w:pPr>
      <w:r>
        <w:rPr>
          <w:color w:val="2E3B38"/>
          <w:sz w:val="21"/>
        </w:rPr>
        <w:t>This appears nowhere in the loan documents. It should be added to:</w:t>
      </w:r>
    </w:p>
    <w:p>
      <w:pPr>
        <w:pStyle w:val="ListBullet"/>
        <w:spacing w:after="60"/>
      </w:pPr>
      <w:r>
        <w:rPr>
          <w:b/>
          <w:color w:val="1E3C36"/>
          <w:sz w:val="21"/>
        </w:rPr>
        <w:t>Loan Proposal</w:t>
      </w:r>
      <w:r>
        <w:rPr>
          <w:color w:val="2E3B38"/>
          <w:sz w:val="21"/>
        </w:rPr>
        <w:t xml:space="preserve"> — a line under Origination fee: </w:t>
      </w:r>
      <w:r>
        <w:rPr>
          <w:i/>
          <w:color w:val="6B7A75"/>
          <w:sz w:val="21"/>
        </w:rPr>
        <w:t>"paid at closing, or financed at 12.25%"</w:t>
      </w:r>
    </w:p>
    <w:p>
      <w:pPr>
        <w:pStyle w:val="ListBullet"/>
        <w:spacing w:after="60"/>
      </w:pPr>
      <w:r>
        <w:rPr>
          <w:b/>
          <w:color w:val="1E3C36"/>
          <w:sz w:val="21"/>
        </w:rPr>
        <w:t>Closing Worksheet</w:t>
      </w:r>
      <w:r>
        <w:rPr>
          <w:color w:val="2E3B38"/>
          <w:sz w:val="21"/>
        </w:rPr>
        <w:t xml:space="preserve"> — a checkbox for points rolled, which changes the rate</w:t>
      </w:r>
    </w:p>
    <w:p>
      <w:pPr>
        <w:pStyle w:val="ListBullet"/>
        <w:spacing w:after="60"/>
      </w:pPr>
      <w:r>
        <w:rPr>
          <w:b/>
          <w:color w:val="1E3C36"/>
          <w:sz w:val="21"/>
        </w:rPr>
        <w:t>Deal Underwriting Worksheet</w:t>
      </w:r>
      <w:r>
        <w:rPr>
          <w:color w:val="2E3B38"/>
          <w:sz w:val="21"/>
        </w:rPr>
        <w:t xml:space="preserve"> — same</w:t>
      </w:r>
    </w:p>
    <w:p>
      <w:pPr>
        <w:pStyle w:val="ListBullet"/>
        <w:spacing w:after="60"/>
      </w:pPr>
      <w:r>
        <w:rPr>
          <w:b/>
          <w:color w:val="1E3C36"/>
          <w:sz w:val="21"/>
        </w:rPr>
        <w:t>Conditional Approval</w:t>
      </w:r>
      <w:r>
        <w:rPr>
          <w:color w:val="2E3B38"/>
          <w:sz w:val="21"/>
        </w:rPr>
        <w:t xml:space="preserve"> — same</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entury Gothic" w:hAnsi="Century Gothic"/>
        <w:color w:val="6B7A75"/>
        <w:sz w:val="14"/>
      </w:rPr>
      <w:t>Lazy Dog Capital LLC  ·  3400 N Central Expy #110-217, Richardson, TX 75080  ·  214-740-4989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Georgia" w:hAnsi="Georgia"/>
      <w:color w:val="2E3B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