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1F4E79"/>
          <w:sz w:val="44"/>
          <w:szCs w:val="44"/>
        </w:rPr>
        <w:t xml:space="preserve">Reproducing Telematics CANN Claim Count Models</w:t>
      </w:r>
    </w:p>
    <w:p>
      <w:pPr>
        <w:spacing w:after="80"/>
        <w:jc w:val="center"/>
      </w:pPr>
      <w:r>
        <w:rPr>
          <w:color w:val="555555"/>
          <w:sz w:val="28"/>
          <w:szCs w:val="28"/>
        </w:rPr>
        <w:t xml:space="preserve">A step-by-step project plan</w:t>
      </w:r>
    </w:p>
    <w:p>
      <w:pPr>
        <w:spacing w:after="600"/>
        <w:jc w:val="center"/>
      </w:pPr>
      <w:r>
        <w:rPr>
          <w:i/>
          <w:iCs/>
          <w:color w:val="777777"/>
          <w:sz w:val="20"/>
          <w:szCs w:val="20"/>
        </w:rPr>
        <w:t xml:space="preserve">After Duval, Boucher &amp; Pigeon (2024), ASTIN Bulletin 54(2), 239–262</w:t>
      </w:r>
    </w:p>
    <w:p>
      <w:pPr>
        <w:spacing w:after="2400"/>
        <w:jc w:val="center"/>
      </w:pPr>
      <w:r>
        <w:rPr>
          <w:color w:val="777777"/>
          <w:sz w:val="20"/>
          <w:szCs w:val="20"/>
        </w:rPr>
        <w:t xml:space="preserve">Portfolio project — data acquisition, EDA, dispersion diagnostics, GLM benchmarks, CANN implementation, evaluation and interpretation</w:t>
      </w:r>
    </w:p>
    <w:p>
      <w:r>
        <w:br w:type="page"/>
      </w:r>
    </w:p>
    <w:p>
      <w:pPr>
        <w:pStyle w:val="Heading1"/>
        <w:spacing w:after="160" w:before="36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0. Objective and scope</w:t>
      </w:r>
    </w:p>
    <w:p>
      <w:pPr>
        <w:spacing w:after="120"/>
      </w:pPr>
      <w:r>
        <w:t xml:space="preserve">The goal is to rebuild, from public data, the claim count modelling pipeline of Duval, Boucher &amp; Pigeon (2024). That paper embeds a classical log-linear claim count model inside a neural network — the Combined Actuarial Neural Network (CANN) of Wüthrich &amp; Merz — and feeds telematics driving data to the network component. It compares three distributional specifications: Poisson, Negative Binomial (cross-sectional) and Multivariate Negative Binomial (longitudinal).</w:t>
      </w:r>
    </w:p>
    <w:p>
      <w:pPr>
        <w:spacing w:after="120"/>
      </w:pPr>
      <w:r>
        <w:t xml:space="preserve">What this project will deliver:</w:t>
      </w:r>
    </w:p>
    <w:p>
      <w:pPr>
        <w:pStyle w:val="ListParagraph"/>
        <w:numPr>
          <w:ilvl w:val="0"/>
          <w:numId w:val="2"/>
        </w:numPr>
        <w:spacing w:after="60"/>
      </w:pPr>
      <w:r>
        <w:t xml:space="preserve">A documented, reproducible EDA of an insurance portfolio with traditional and telematics covariates.</w:t>
      </w:r>
    </w:p>
    <w:p>
      <w:pPr>
        <w:pStyle w:val="ListParagraph"/>
        <w:numPr>
          <w:ilvl w:val="0"/>
          <w:numId w:val="2"/>
        </w:numPr>
        <w:spacing w:after="60"/>
      </w:pPr>
      <w:r>
        <w:t xml:space="preserve">A rigorous answer to the question "is the claim count over-dispersed?", with the diagnostics that justify choosing Negative Binomial over Poisson.</w:t>
      </w:r>
    </w:p>
    <w:p>
      <w:pPr>
        <w:pStyle w:val="ListParagraph"/>
        <w:numPr>
          <w:ilvl w:val="0"/>
          <w:numId w:val="2"/>
        </w:numPr>
        <w:spacing w:after="60"/>
      </w:pPr>
      <w:r>
        <w:t xml:space="preserve">Benchmark Poisson and NB GLMs, with and without telematics features.</w:t>
      </w:r>
    </w:p>
    <w:p>
      <w:pPr>
        <w:pStyle w:val="ListParagraph"/>
        <w:numPr>
          <w:ilvl w:val="0"/>
          <w:numId w:val="2"/>
        </w:numPr>
        <w:spacing w:after="60"/>
      </w:pPr>
      <w:r>
        <w:t xml:space="preserve">A CANN implementation trained under the Negative Binomial log-likelihood, warm-started from the Poisson GLM, with a Poisson-head CANN retained only as a comparison point.</w:t>
      </w:r>
    </w:p>
    <w:p>
      <w:pPr>
        <w:pStyle w:val="ListParagraph"/>
        <w:numPr>
          <w:ilvl w:val="0"/>
          <w:numId w:val="2"/>
        </w:numPr>
        <w:spacing w:after="60"/>
      </w:pPr>
      <w:r>
        <w:t xml:space="preserve">An out-of-sample evaluation and a model interpretation layer (permutation importance, partial dependence).</w:t>
      </w:r>
    </w:p>
    <w:p>
      <w:pPr>
        <w:pStyle w:val="ListParagraph"/>
        <w:numPr>
          <w:ilvl w:val="0"/>
          <w:numId w:val="2"/>
        </w:numPr>
        <w:spacing w:after="60"/>
      </w:pPr>
      <w:r>
        <w:t xml:space="preserve">A clear statement of the boundary: the longitudinal MVNB specification is out of scope, and why.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8" w:val="clear"/>
            <w:tcMar>
              <w:top w:type="dxa" w:w="120"/>
              <w:left w:type="dxa" w:w="160"/>
              <w:bottom w:type="dxa" w:w="120"/>
              <w:right w:type="dxa" w:w="160"/>
            </w:tcMar>
          </w:tcPr>
          <w:p>
            <w:pPr>
              <w:spacing w:after="60"/>
            </w:pPr>
            <w:r>
              <w:rPr>
                <w:b/>
                <w:bCs/>
                <w:color w:val="1F4E79"/>
                <w:sz w:val="20"/>
                <w:szCs w:val="20"/>
              </w:rPr>
              <w:t xml:space="preserve">Scope boundary — read this before you start</w:t>
            </w:r>
          </w:p>
          <w:p>
            <w:pPr>
              <w:spacing w:after="60"/>
            </w:pPr>
            <w:r>
              <w:rPr>
                <w:sz w:val="20"/>
                <w:szCs w:val="20"/>
              </w:rPr>
              <w:t xml:space="preserve">The public dataset is CROSS-SECTIONAL: one row per policy, no insured identifier, no repeated contracts. The paper's third specification — the Multivariate Negative Binomial — is therefore OUT OF SCOPE for this project by deliberate decision, not by oversight. MVNB exists only to model dependence between contracts of the same insured; with one row per policy there is no such dependence to model, and fitting it would be meaningless. This project reproduces the two cross-sectional specifications, Poisson and Negative Binomial, and takes the NB as its primary model.</w:t>
            </w:r>
          </w:p>
          <w:p>
            <w:pPr>
              <w:spacing w:after="60"/>
            </w:pPr>
            <w:r>
              <w:rPr>
                <w:sz w:val="20"/>
                <w:szCs w:val="20"/>
              </w:rPr>
              <w:t xml:space="preserve">The telematics features in the public data are already aggregated per policy (percentages, event counts). The paper used raw trip-level logs. This means you skip the paper's raw-telematics preprocessing stage — which is a simplification you must state explicitly in any write-up.</w:t>
            </w:r>
          </w:p>
        </w:tc>
      </w:tr>
    </w:tbl>
    <w:p>
      <w:pPr>
        <w:pStyle w:val="Heading1"/>
        <w:spacing w:after="160" w:before="360"/>
      </w:pPr>
      <w:r>
        <w:t xml:space="preserve">1. Data acquisition</w:t>
      </w:r>
    </w:p>
    <w:p>
      <w:pPr>
        <w:pStyle w:val="Heading2"/>
        <w:spacing w:after="120" w:before="280"/>
      </w:pPr>
      <w:r>
        <w:t xml:space="preserve">1.1 Source</w:t>
      </w:r>
    </w:p>
    <w:p>
      <w:pPr>
        <w:spacing w:after="120"/>
      </w:pPr>
      <w:r>
        <w:t xml:space="preserve">Dataset: synthetic driver telematics portfolio from So, Boucher &amp; Valdez (2021), "Synthetic Dataset Generation of Driver Telematics", Risks 9(4), 58. Jean-Philippe Boucher is a co-author of both this dataset and the CANN paper, which makes it the natural public stand-in.</w:t>
      </w:r>
    </w:p>
    <w:p>
      <w:pPr>
        <w:spacing w:after="120"/>
      </w:pPr>
      <w:r>
        <w:t xml:space="preserve">It was generated from a real Canadian insurer's Ontario portfolio (2013–2016) using an extended SMOTE algorithm plus a feedforward neural network, so that marginal distributions and GLM coefficient directions are preserved while privacy is protected.</w:t>
      </w:r>
    </w:p>
    <w:p>
      <w:pPr>
        <w:pStyle w:val="Heading2"/>
        <w:spacing w:after="120" w:before="280"/>
      </w:pPr>
      <w:r>
        <w:t xml:space="preserve">1.2 Download</w:t>
      </w:r>
    </w:p>
    <w:p>
      <w:pPr>
        <w:shd w:fill="F2F4F7" w:val="clear"/>
        <w:spacing w:after="0" w:before="80"/>
      </w:pPr>
      <w:r>
        <w:rPr>
          <w:rFonts w:ascii="Consolas" w:cs="Consolas" w:eastAsia="Consolas" w:hAnsi="Consolas"/>
          <w:sz w:val="17"/>
          <w:szCs w:val="17"/>
        </w:rPr>
        <w:t xml:space="preserve"># direct link (100,000 rows, 52 columns)</w:t>
      </w:r>
    </w:p>
    <w:p>
      <w:pPr>
        <w:shd w:fill="F2F4F7" w:val="clear"/>
        <w:spacing w:after="0" w:before="0"/>
      </w:pPr>
      <w:r>
        <w:rPr>
          <w:rFonts w:ascii="Consolas" w:cs="Consolas" w:eastAsia="Consolas" w:hAnsi="Consolas"/>
          <w:sz w:val="17"/>
          <w:szCs w:val="17"/>
        </w:rPr>
        <w:t xml:space="preserve">https://www2.math.uconn.edu/~valdez/telematics_syn-032021.csv</w:t>
      </w:r>
    </w:p>
    <w:p>
      <w:pPr>
        <w:shd w:fill="F2F4F7" w:val="clear"/>
        <w:spacing w:after="0" w:before="0"/>
      </w:pPr>
      <w:r>
        <w:rPr>
          <w:rFonts w:ascii="Consolas" w:cs="Consolas" w:eastAsia="Consolas" w:hAnsi="Consolas"/>
          <w:sz w:val="17"/>
          <w:szCs w:val="17"/>
        </w:rPr>
        <w:t xml:space="preserve"> </w:t>
      </w:r>
    </w:p>
    <w:p>
      <w:pPr>
        <w:shd w:fill="F2F4F7" w:val="clear"/>
        <w:spacing w:after="0" w:before="0"/>
      </w:pPr>
      <w:r>
        <w:rPr>
          <w:rFonts w:ascii="Consolas" w:cs="Consolas" w:eastAsia="Consolas" w:hAnsi="Consolas"/>
          <w:sz w:val="17"/>
          <w:szCs w:val="17"/>
        </w:rPr>
        <w:t xml:space="preserve"># landing page (in case the file is moved)</w:t>
      </w:r>
    </w:p>
    <w:p>
      <w:pPr>
        <w:shd w:fill="F2F4F7" w:val="clear"/>
        <w:spacing w:after="0" w:before="0"/>
      </w:pPr>
      <w:r>
        <w:rPr>
          <w:rFonts w:ascii="Consolas" w:cs="Consolas" w:eastAsia="Consolas" w:hAnsi="Consolas"/>
          <w:sz w:val="17"/>
          <w:szCs w:val="17"/>
        </w:rPr>
        <w:t xml:space="preserve">https://www2.math.uconn.edu/~valdez/data.html</w:t>
      </w:r>
    </w:p>
    <w:p>
      <w:pPr>
        <w:shd w:fill="F2F4F7" w:val="clear"/>
        <w:spacing w:after="0" w:before="0"/>
      </w:pPr>
      <w:r>
        <w:rPr>
          <w:rFonts w:ascii="Consolas" w:cs="Consolas" w:eastAsia="Consolas" w:hAnsi="Consolas"/>
          <w:sz w:val="17"/>
          <w:szCs w:val="17"/>
        </w:rPr>
        <w:t xml:space="preserve"> </w:t>
      </w:r>
    </w:p>
    <w:p>
      <w:pPr>
        <w:shd w:fill="F2F4F7" w:val="clear"/>
        <w:spacing w:after="0" w:before="0"/>
      </w:pPr>
      <w:r>
        <w:rPr>
          <w:rFonts w:ascii="Consolas" w:cs="Consolas" w:eastAsia="Consolas" w:hAnsi="Consolas"/>
          <w:sz w:val="17"/>
          <w:szCs w:val="17"/>
        </w:rPr>
        <w:t xml:space="preserve"># --- R</w:t>
      </w:r>
    </w:p>
    <w:p>
      <w:pPr>
        <w:shd w:fill="F2F4F7" w:val="clear"/>
        <w:spacing w:after="0" w:before="0"/>
      </w:pPr>
      <w:r>
        <w:rPr>
          <w:rFonts w:ascii="Consolas" w:cs="Consolas" w:eastAsia="Consolas" w:hAnsi="Consolas"/>
          <w:sz w:val="17"/>
          <w:szCs w:val="17"/>
        </w:rPr>
        <w:t xml:space="preserve">url &lt;- "https://www2.math.uconn.edu/~valdez/telematics_syn-032021.csv"</w:t>
      </w:r>
    </w:p>
    <w:p>
      <w:pPr>
        <w:shd w:fill="F2F4F7" w:val="clear"/>
        <w:spacing w:after="0" w:before="0"/>
      </w:pPr>
      <w:r>
        <w:rPr>
          <w:rFonts w:ascii="Consolas" w:cs="Consolas" w:eastAsia="Consolas" w:hAnsi="Consolas"/>
          <w:sz w:val="17"/>
          <w:szCs w:val="17"/>
        </w:rPr>
        <w:t xml:space="preserve">download.file(url, "telematics_syn.csv", mode = "wb")</w:t>
      </w:r>
    </w:p>
    <w:p>
      <w:pPr>
        <w:shd w:fill="F2F4F7" w:val="clear"/>
        <w:spacing w:after="0" w:before="0"/>
      </w:pPr>
      <w:r>
        <w:rPr>
          <w:rFonts w:ascii="Consolas" w:cs="Consolas" w:eastAsia="Consolas" w:hAnsi="Consolas"/>
          <w:sz w:val="17"/>
          <w:szCs w:val="17"/>
        </w:rPr>
        <w:t xml:space="preserve">dt &lt;- data.table::fread("telematics_syn.csv")</w:t>
      </w:r>
    </w:p>
    <w:p>
      <w:pPr>
        <w:shd w:fill="F2F4F7" w:val="clear"/>
        <w:spacing w:after="0" w:before="0"/>
      </w:pPr>
      <w:r>
        <w:rPr>
          <w:rFonts w:ascii="Consolas" w:cs="Consolas" w:eastAsia="Consolas" w:hAnsi="Consolas"/>
          <w:sz w:val="17"/>
          <w:szCs w:val="17"/>
        </w:rPr>
        <w:t xml:space="preserve"> </w:t>
      </w:r>
    </w:p>
    <w:p>
      <w:pPr>
        <w:shd w:fill="F2F4F7" w:val="clear"/>
        <w:spacing w:after="0" w:before="0"/>
      </w:pPr>
      <w:r>
        <w:rPr>
          <w:rFonts w:ascii="Consolas" w:cs="Consolas" w:eastAsia="Consolas" w:hAnsi="Consolas"/>
          <w:sz w:val="17"/>
          <w:szCs w:val="17"/>
        </w:rPr>
        <w:t xml:space="preserve"># --- Python</w:t>
      </w:r>
    </w:p>
    <w:p>
      <w:pPr>
        <w:shd w:fill="F2F4F7" w:val="clear"/>
        <w:spacing w:after="0" w:before="0"/>
      </w:pPr>
      <w:r>
        <w:rPr>
          <w:rFonts w:ascii="Consolas" w:cs="Consolas" w:eastAsia="Consolas" w:hAnsi="Consolas"/>
          <w:sz w:val="17"/>
          <w:szCs w:val="17"/>
        </w:rPr>
        <w:t xml:space="preserve">import pandas as pd</w:t>
      </w:r>
    </w:p>
    <w:p>
      <w:pPr>
        <w:shd w:fill="F2F4F7" w:val="clear"/>
        <w:spacing w:after="0" w:before="0"/>
      </w:pPr>
      <w:r>
        <w:rPr>
          <w:rFonts w:ascii="Consolas" w:cs="Consolas" w:eastAsia="Consolas" w:hAnsi="Consolas"/>
          <w:sz w:val="17"/>
          <w:szCs w:val="17"/>
        </w:rPr>
        <w:t xml:space="preserve">df = pd.read_csv("https://www2.math.uconn.edu/~valdez/telematics_syn-032021.csv")</w:t>
      </w:r>
    </w:p>
    <w:p>
      <w:pPr>
        <w:shd w:fill="F2F4F7" w:val="clear"/>
        <w:spacing w:after="140" w:before="0"/>
      </w:pPr>
      <w:r>
        <w:rPr>
          <w:rFonts w:ascii="Consolas" w:cs="Consolas" w:eastAsia="Consolas" w:hAnsi="Consolas"/>
          <w:sz w:val="17"/>
          <w:szCs w:val="17"/>
        </w:rPr>
        <w:t xml:space="preserve">df.to_parquet("telematics_syn.parquet")   # cache it, re-read in ms</w:t>
      </w:r>
    </w:p>
    <w:p>
      <w:pPr>
        <w:pStyle w:val="Heading2"/>
        <w:spacing w:after="120" w:before="280"/>
      </w:pPr>
      <w:r>
        <w:t xml:space="preserve">1.3 Schema — the 52 columns</w:t>
      </w:r>
    </w:p>
    <w:p>
      <w:pPr>
        <w:spacing w:after="120"/>
      </w:pPr>
      <w:r>
        <w:t xml:space="preserve">Confirmed column order from the file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60"/>
      </w:tblGrid>
      <w:tr>
        <w:trPr>
          <w:tblHeader/>
        </w:trPr>
        <w:tc>
          <w:tcPr>
            <w:tcW w:type="dxa" w:w="1500"/>
            <w:shd w:fill="1F4E79" w:val="clear"/>
            <w:tcMar>
              <w:top w:type="dxa" w:w="80"/>
              <w:left w:type="dxa" w:w="100"/>
              <w:bottom w:type="dxa" w:w="80"/>
              <w:right w:type="dxa" w:w="100"/>
            </w:tcMar>
          </w:tcPr>
          <w:p>
            <w:r>
              <w:rPr>
                <w:b/>
                <w:bCs/>
                <w:color w:val="FFFFFF"/>
                <w:sz w:val="18"/>
                <w:szCs w:val="18"/>
              </w:rPr>
              <w:t xml:space="preserve">Block</w:t>
            </w:r>
          </w:p>
        </w:tc>
        <w:tc>
          <w:tcPr>
            <w:tcW w:type="dxa" w:w="3900"/>
            <w:shd w:fill="1F4E79" w:val="clear"/>
            <w:tcMar>
              <w:top w:type="dxa" w:w="80"/>
              <w:left w:type="dxa" w:w="100"/>
              <w:bottom w:type="dxa" w:w="80"/>
              <w:right w:type="dxa" w:w="100"/>
            </w:tcMar>
          </w:tcPr>
          <w:p>
            <w:r>
              <w:rPr>
                <w:b/>
                <w:bCs/>
                <w:color w:val="FFFFFF"/>
                <w:sz w:val="18"/>
                <w:szCs w:val="18"/>
              </w:rPr>
              <w:t xml:space="preserve">Columns</w:t>
            </w:r>
          </w:p>
        </w:tc>
        <w:tc>
          <w:tcPr>
            <w:tcW w:type="dxa" w:w="3960"/>
            <w:shd w:fill="1F4E79" w:val="clear"/>
            <w:tcMar>
              <w:top w:type="dxa" w:w="80"/>
              <w:left w:type="dxa" w:w="100"/>
              <w:bottom w:type="dxa" w:w="80"/>
              <w:right w:type="dxa" w:w="100"/>
            </w:tcMar>
          </w:tcPr>
          <w:p>
            <w:r>
              <w:rPr>
                <w:b/>
                <w:bCs/>
                <w:color w:val="FFFFFF"/>
                <w:sz w:val="18"/>
                <w:szCs w:val="18"/>
              </w:rPr>
              <w:t xml:space="preserve">Notes</w:t>
            </w:r>
          </w:p>
        </w:tc>
      </w:tr>
      <w:tr>
        <w:tc>
          <w:tcPr>
            <w:tcW w:type="dxa" w:w="1500"/>
            <w:shd w:fill="FFFFFF" w:val="clear"/>
            <w:tcMar>
              <w:top w:type="dxa" w:w="70"/>
              <w:left w:type="dxa" w:w="100"/>
              <w:bottom w:type="dxa" w:w="70"/>
              <w:right w:type="dxa" w:w="100"/>
            </w:tcMar>
          </w:tcPr>
          <w:p>
            <w:r>
              <w:rPr>
                <w:sz w:val="18"/>
                <w:szCs w:val="18"/>
              </w:rPr>
              <w:t xml:space="preserve">Contract / exposure</w:t>
            </w:r>
          </w:p>
        </w:tc>
        <w:tc>
          <w:tcPr>
            <w:tcW w:type="dxa" w:w="3900"/>
            <w:shd w:fill="FFFFFF" w:val="clear"/>
            <w:tcMar>
              <w:top w:type="dxa" w:w="70"/>
              <w:left w:type="dxa" w:w="100"/>
              <w:bottom w:type="dxa" w:w="70"/>
              <w:right w:type="dxa" w:w="100"/>
            </w:tcMar>
          </w:tcPr>
          <w:p>
            <w:r>
              <w:rPr>
                <w:sz w:val="18"/>
                <w:szCs w:val="18"/>
              </w:rPr>
              <w:t xml:space="preserve">Duration</w:t>
            </w:r>
          </w:p>
        </w:tc>
        <w:tc>
          <w:tcPr>
            <w:tcW w:type="dxa" w:w="3960"/>
            <w:shd w:fill="FFFFFF" w:val="clear"/>
            <w:tcMar>
              <w:top w:type="dxa" w:w="70"/>
              <w:left w:type="dxa" w:w="100"/>
              <w:bottom w:type="dxa" w:w="70"/>
              <w:right w:type="dxa" w:w="100"/>
            </w:tcMar>
          </w:tcPr>
          <w:p>
            <w:r>
              <w:rPr>
                <w:sz w:val="18"/>
                <w:szCs w:val="18"/>
              </w:rPr>
              <w:t xml:space="preserve">In DAYS. Divide by 365 to get the exposure in years used as the log-offset.</w:t>
            </w:r>
          </w:p>
        </w:tc>
      </w:tr>
      <w:tr>
        <w:tc>
          <w:tcPr>
            <w:tcW w:type="dxa" w:w="1500"/>
            <w:shd w:fill="F7F9FC" w:val="clear"/>
            <w:tcMar>
              <w:top w:type="dxa" w:w="70"/>
              <w:left w:type="dxa" w:w="100"/>
              <w:bottom w:type="dxa" w:w="70"/>
              <w:right w:type="dxa" w:w="100"/>
            </w:tcMar>
          </w:tcPr>
          <w:p>
            <w:r>
              <w:rPr>
                <w:sz w:val="18"/>
                <w:szCs w:val="18"/>
              </w:rPr>
              <w:t xml:space="preserve">Traditional (10)</w:t>
            </w:r>
          </w:p>
        </w:tc>
        <w:tc>
          <w:tcPr>
            <w:tcW w:type="dxa" w:w="3900"/>
            <w:shd w:fill="F7F9FC" w:val="clear"/>
            <w:tcMar>
              <w:top w:type="dxa" w:w="70"/>
              <w:left w:type="dxa" w:w="100"/>
              <w:bottom w:type="dxa" w:w="70"/>
              <w:right w:type="dxa" w:w="100"/>
            </w:tcMar>
          </w:tcPr>
          <w:p>
            <w:r>
              <w:rPr>
                <w:sz w:val="18"/>
                <w:szCs w:val="18"/>
              </w:rPr>
              <w:t xml:space="preserve">Insured.age, Insured.sex, Car.age, Marital, Car.use, Credit.score, Region, Annual.miles.drive, Years.noclaims, Territory</w:t>
            </w:r>
          </w:p>
        </w:tc>
        <w:tc>
          <w:tcPr>
            <w:tcW w:type="dxa" w:w="3960"/>
            <w:shd w:fill="F7F9FC" w:val="clear"/>
            <w:tcMar>
              <w:top w:type="dxa" w:w="70"/>
              <w:left w:type="dxa" w:w="100"/>
              <w:bottom w:type="dxa" w:w="70"/>
              <w:right w:type="dxa" w:w="100"/>
            </w:tcMar>
          </w:tcPr>
          <w:p>
            <w:r>
              <w:rPr>
                <w:sz w:val="18"/>
                <w:szCs w:val="18"/>
              </w:rPr>
              <w:t xml:space="preserve">Classic underwriting rating factors. Territory has many levels (~55) — a known problem for GLMs.</w:t>
            </w:r>
          </w:p>
        </w:tc>
      </w:tr>
      <w:tr>
        <w:tc>
          <w:tcPr>
            <w:tcW w:type="dxa" w:w="1500"/>
            <w:shd w:fill="FFFFFF" w:val="clear"/>
            <w:tcMar>
              <w:top w:type="dxa" w:w="70"/>
              <w:left w:type="dxa" w:w="100"/>
              <w:bottom w:type="dxa" w:w="70"/>
              <w:right w:type="dxa" w:w="100"/>
            </w:tcMar>
          </w:tcPr>
          <w:p>
            <w:r>
              <w:rPr>
                <w:sz w:val="18"/>
                <w:szCs w:val="18"/>
              </w:rPr>
              <w:t xml:space="preserve">Telematics — intensity</w:t>
            </w:r>
          </w:p>
        </w:tc>
        <w:tc>
          <w:tcPr>
            <w:tcW w:type="dxa" w:w="3900"/>
            <w:shd w:fill="FFFFFF" w:val="clear"/>
            <w:tcMar>
              <w:top w:type="dxa" w:w="70"/>
              <w:left w:type="dxa" w:w="100"/>
              <w:bottom w:type="dxa" w:w="70"/>
              <w:right w:type="dxa" w:w="100"/>
            </w:tcMar>
          </w:tcPr>
          <w:p>
            <w:r>
              <w:rPr>
                <w:sz w:val="18"/>
                <w:szCs w:val="18"/>
              </w:rPr>
              <w:t xml:space="preserve">Annual.pct.driven, Total.miles.driven, Avgdays.week</w:t>
            </w:r>
          </w:p>
        </w:tc>
        <w:tc>
          <w:tcPr>
            <w:tcW w:type="dxa" w:w="3960"/>
            <w:shd w:fill="FFFFFF" w:val="clear"/>
            <w:tcMar>
              <w:top w:type="dxa" w:w="70"/>
              <w:left w:type="dxa" w:w="100"/>
              <w:bottom w:type="dxa" w:w="70"/>
              <w:right w:type="dxa" w:w="100"/>
            </w:tcMar>
          </w:tcPr>
          <w:p>
            <w:r>
              <w:rPr>
                <w:sz w:val="18"/>
                <w:szCs w:val="18"/>
              </w:rPr>
              <w:t xml:space="preserve">Usage volume.</w:t>
            </w:r>
          </w:p>
        </w:tc>
      </w:tr>
      <w:tr>
        <w:tc>
          <w:tcPr>
            <w:tcW w:type="dxa" w:w="1500"/>
            <w:shd w:fill="F7F9FC" w:val="clear"/>
            <w:tcMar>
              <w:top w:type="dxa" w:w="70"/>
              <w:left w:type="dxa" w:w="100"/>
              <w:bottom w:type="dxa" w:w="70"/>
              <w:right w:type="dxa" w:w="100"/>
            </w:tcMar>
          </w:tcPr>
          <w:p>
            <w:r>
              <w:rPr>
                <w:sz w:val="18"/>
                <w:szCs w:val="18"/>
              </w:rPr>
              <w:t xml:space="preserve">Telematics — day mix</w:t>
            </w:r>
          </w:p>
        </w:tc>
        <w:tc>
          <w:tcPr>
            <w:tcW w:type="dxa" w:w="3900"/>
            <w:shd w:fill="F7F9FC" w:val="clear"/>
            <w:tcMar>
              <w:top w:type="dxa" w:w="70"/>
              <w:left w:type="dxa" w:w="100"/>
              <w:bottom w:type="dxa" w:w="70"/>
              <w:right w:type="dxa" w:w="100"/>
            </w:tcMar>
          </w:tcPr>
          <w:p>
            <w:r>
              <w:rPr>
                <w:sz w:val="18"/>
                <w:szCs w:val="18"/>
              </w:rPr>
              <w:t xml:space="preserve">Pct.drive.mon … Pct.drive.sun, Pct.drive.wkday, Pct.drive.wkend</w:t>
            </w:r>
          </w:p>
        </w:tc>
        <w:tc>
          <w:tcPr>
            <w:tcW w:type="dxa" w:w="3960"/>
            <w:shd w:fill="F7F9FC" w:val="clear"/>
            <w:tcMar>
              <w:top w:type="dxa" w:w="70"/>
              <w:left w:type="dxa" w:w="100"/>
              <w:bottom w:type="dxa" w:w="70"/>
              <w:right w:type="dxa" w:w="100"/>
            </w:tcMar>
          </w:tcPr>
          <w:p>
            <w:r>
              <w:rPr>
                <w:sz w:val="18"/>
                <w:szCs w:val="18"/>
              </w:rPr>
              <w:t xml:space="preserve">Compositional: these sum to ~1 by construction. Do not put all of them in a GLM.</w:t>
            </w:r>
          </w:p>
        </w:tc>
      </w:tr>
      <w:tr>
        <w:tc>
          <w:tcPr>
            <w:tcW w:type="dxa" w:w="1500"/>
            <w:shd w:fill="FFFFFF" w:val="clear"/>
            <w:tcMar>
              <w:top w:type="dxa" w:w="70"/>
              <w:left w:type="dxa" w:w="100"/>
              <w:bottom w:type="dxa" w:w="70"/>
              <w:right w:type="dxa" w:w="100"/>
            </w:tcMar>
          </w:tcPr>
          <w:p>
            <w:r>
              <w:rPr>
                <w:sz w:val="18"/>
                <w:szCs w:val="18"/>
              </w:rPr>
              <w:t xml:space="preserve">Telematics — time mix</w:t>
            </w:r>
          </w:p>
        </w:tc>
        <w:tc>
          <w:tcPr>
            <w:tcW w:type="dxa" w:w="3900"/>
            <w:shd w:fill="FFFFFF" w:val="clear"/>
            <w:tcMar>
              <w:top w:type="dxa" w:w="70"/>
              <w:left w:type="dxa" w:w="100"/>
              <w:bottom w:type="dxa" w:w="70"/>
              <w:right w:type="dxa" w:w="100"/>
            </w:tcMar>
          </w:tcPr>
          <w:p>
            <w:r>
              <w:rPr>
                <w:sz w:val="18"/>
                <w:szCs w:val="18"/>
              </w:rPr>
              <w:t xml:space="preserve">Pct.drive.2hrs, Pct.drive.3hrs, Pct.drive.4hrs, Pct.drive.rush am, Pct.drive.rush pm</w:t>
            </w:r>
          </w:p>
        </w:tc>
        <w:tc>
          <w:tcPr>
            <w:tcW w:type="dxa" w:w="3960"/>
            <w:shd w:fill="FFFFFF" w:val="clear"/>
            <w:tcMar>
              <w:top w:type="dxa" w:w="70"/>
              <w:left w:type="dxa" w:w="100"/>
              <w:bottom w:type="dxa" w:w="70"/>
              <w:right w:type="dxa" w:w="100"/>
            </w:tcMar>
          </w:tcPr>
          <w:p>
            <w:r>
              <w:rPr>
                <w:sz w:val="18"/>
                <w:szCs w:val="18"/>
              </w:rPr>
              <w:t xml:space="preserve">Trip length and rush-hour exposure.</w:t>
            </w:r>
          </w:p>
        </w:tc>
      </w:tr>
      <w:tr>
        <w:tc>
          <w:tcPr>
            <w:tcW w:type="dxa" w:w="1500"/>
            <w:shd w:fill="F7F9FC" w:val="clear"/>
            <w:tcMar>
              <w:top w:type="dxa" w:w="70"/>
              <w:left w:type="dxa" w:w="100"/>
              <w:bottom w:type="dxa" w:w="70"/>
              <w:right w:type="dxa" w:w="100"/>
            </w:tcMar>
          </w:tcPr>
          <w:p>
            <w:r>
              <w:rPr>
                <w:sz w:val="18"/>
                <w:szCs w:val="18"/>
              </w:rPr>
              <w:t xml:space="preserve">Telematics — harsh events</w:t>
            </w:r>
          </w:p>
        </w:tc>
        <w:tc>
          <w:tcPr>
            <w:tcW w:type="dxa" w:w="3900"/>
            <w:shd w:fill="F7F9FC" w:val="clear"/>
            <w:tcMar>
              <w:top w:type="dxa" w:w="70"/>
              <w:left w:type="dxa" w:w="100"/>
              <w:bottom w:type="dxa" w:w="70"/>
              <w:right w:type="dxa" w:w="100"/>
            </w:tcMar>
          </w:tcPr>
          <w:p>
            <w:r>
              <w:rPr>
                <w:sz w:val="18"/>
                <w:szCs w:val="18"/>
              </w:rPr>
              <w:t xml:space="preserve">Accel.06/08/09/11/12/14miles, Brake.06/08/09/11/12/14miles</w:t>
            </w:r>
          </w:p>
        </w:tc>
        <w:tc>
          <w:tcPr>
            <w:tcW w:type="dxa" w:w="3960"/>
            <w:shd w:fill="F7F9FC" w:val="clear"/>
            <w:tcMar>
              <w:top w:type="dxa" w:w="70"/>
              <w:left w:type="dxa" w:w="100"/>
              <w:bottom w:type="dxa" w:w="70"/>
              <w:right w:type="dxa" w:w="100"/>
            </w:tcMar>
          </w:tcPr>
          <w:p>
            <w:r>
              <w:rPr>
                <w:sz w:val="18"/>
                <w:szCs w:val="18"/>
              </w:rPr>
              <w:t xml:space="preserve">Counts per unit distance above increasing g-force thresholds. Monotone nested: the 06 threshold count ≥ the 14 threshold count. Highly collinear.</w:t>
            </w:r>
          </w:p>
        </w:tc>
      </w:tr>
      <w:tr>
        <w:tc>
          <w:tcPr>
            <w:tcW w:type="dxa" w:w="1500"/>
            <w:shd w:fill="FFFFFF" w:val="clear"/>
            <w:tcMar>
              <w:top w:type="dxa" w:w="70"/>
              <w:left w:type="dxa" w:w="100"/>
              <w:bottom w:type="dxa" w:w="70"/>
              <w:right w:type="dxa" w:w="100"/>
            </w:tcMar>
          </w:tcPr>
          <w:p>
            <w:r>
              <w:rPr>
                <w:sz w:val="18"/>
                <w:szCs w:val="18"/>
              </w:rPr>
              <w:t xml:space="preserve">Telematics — cornering</w:t>
            </w:r>
          </w:p>
        </w:tc>
        <w:tc>
          <w:tcPr>
            <w:tcW w:type="dxa" w:w="3900"/>
            <w:shd w:fill="FFFFFF" w:val="clear"/>
            <w:tcMar>
              <w:top w:type="dxa" w:w="70"/>
              <w:left w:type="dxa" w:w="100"/>
              <w:bottom w:type="dxa" w:w="70"/>
              <w:right w:type="dxa" w:w="100"/>
            </w:tcMar>
          </w:tcPr>
          <w:p>
            <w:r>
              <w:rPr>
                <w:sz w:val="18"/>
                <w:szCs w:val="18"/>
              </w:rPr>
              <w:t xml:space="preserve">Left.turn.intensity08–12, Right.turn.intensity08–12</w:t>
            </w:r>
          </w:p>
        </w:tc>
        <w:tc>
          <w:tcPr>
            <w:tcW w:type="dxa" w:w="3960"/>
            <w:shd w:fill="FFFFFF" w:val="clear"/>
            <w:tcMar>
              <w:top w:type="dxa" w:w="70"/>
              <w:left w:type="dxa" w:w="100"/>
              <w:bottom w:type="dxa" w:w="70"/>
              <w:right w:type="dxa" w:w="100"/>
            </w:tcMar>
          </w:tcPr>
          <w:p>
            <w:r>
              <w:rPr>
                <w:sz w:val="18"/>
                <w:szCs w:val="18"/>
              </w:rPr>
              <w:t xml:space="preserve">Same nested-threshold structure.</w:t>
            </w:r>
          </w:p>
        </w:tc>
      </w:tr>
      <w:tr>
        <w:tc>
          <w:tcPr>
            <w:tcW w:type="dxa" w:w="1500"/>
            <w:shd w:fill="F7F9FC" w:val="clear"/>
            <w:tcMar>
              <w:top w:type="dxa" w:w="70"/>
              <w:left w:type="dxa" w:w="100"/>
              <w:bottom w:type="dxa" w:w="70"/>
              <w:right w:type="dxa" w:w="100"/>
            </w:tcMar>
          </w:tcPr>
          <w:p>
            <w:r>
              <w:rPr>
                <w:sz w:val="18"/>
                <w:szCs w:val="18"/>
              </w:rPr>
              <w:t xml:space="preserve">Response</w:t>
            </w:r>
          </w:p>
        </w:tc>
        <w:tc>
          <w:tcPr>
            <w:tcW w:type="dxa" w:w="3900"/>
            <w:shd w:fill="F7F9FC" w:val="clear"/>
            <w:tcMar>
              <w:top w:type="dxa" w:w="70"/>
              <w:left w:type="dxa" w:w="100"/>
              <w:bottom w:type="dxa" w:w="70"/>
              <w:right w:type="dxa" w:w="100"/>
            </w:tcMar>
          </w:tcPr>
          <w:p>
            <w:r>
              <w:rPr>
                <w:sz w:val="18"/>
                <w:szCs w:val="18"/>
              </w:rPr>
              <w:t xml:space="preserve">NB_Claim, AMT_Claim</w:t>
            </w:r>
          </w:p>
        </w:tc>
        <w:tc>
          <w:tcPr>
            <w:tcW w:type="dxa" w:w="3960"/>
            <w:shd w:fill="F7F9FC" w:val="clear"/>
            <w:tcMar>
              <w:top w:type="dxa" w:w="70"/>
              <w:left w:type="dxa" w:w="100"/>
              <w:bottom w:type="dxa" w:w="70"/>
              <w:right w:type="dxa" w:w="100"/>
            </w:tcMar>
          </w:tcPr>
          <w:p>
            <w:r>
              <w:rPr>
                <w:sz w:val="18"/>
                <w:szCs w:val="18"/>
              </w:rPr>
              <w:t xml:space="preserve">Claim count and aggregate claim amount. NB_Claim is your target.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8" w:val="clear"/>
            <w:tcMar>
              <w:top w:type="dxa" w:w="120"/>
              <w:left w:type="dxa" w:w="160"/>
              <w:bottom w:type="dxa" w:w="120"/>
              <w:right w:type="dxa" w:w="160"/>
            </w:tcMar>
          </w:tcPr>
          <w:p>
            <w:pPr>
              <w:spacing w:after="60"/>
            </w:pPr>
            <w:r>
              <w:rPr>
                <w:b/>
                <w:bCs/>
                <w:color w:val="1F4E79"/>
                <w:sz w:val="20"/>
                <w:szCs w:val="20"/>
              </w:rPr>
              <w:t xml:space="preserve">Documented properties to check on load</w:t>
            </w:r>
          </w:p>
          <w:p>
            <w:pPr>
              <w:spacing w:after="60"/>
            </w:pPr>
            <w:r>
              <w:rPr>
                <w:sz w:val="20"/>
                <w:szCs w:val="20"/>
              </w:rPr>
              <w:t xml:space="preserve">100,000 rows, 52 columns.</w:t>
            </w:r>
          </w:p>
          <w:p>
            <w:pPr>
              <w:spacing w:after="60"/>
            </w:pPr>
            <w:r>
              <w:rPr>
                <w:sz w:val="20"/>
                <w:szCs w:val="20"/>
              </w:rPr>
              <w:t xml:space="preserve">Approximately 2,698 policies have at least one claim (~2.7%) — heavily zero-dominated.</w:t>
            </w:r>
          </w:p>
          <w:p>
            <w:pPr>
              <w:spacing w:after="60"/>
            </w:pPr>
            <w:r>
              <w:rPr>
                <w:sz w:val="20"/>
                <w:szCs w:val="20"/>
              </w:rPr>
              <w:t xml:space="preserve">If your row count or claim count differs materially, you have the wrong file or a parsing problem.</w:t>
            </w:r>
          </w:p>
        </w:tc>
      </w:tr>
    </w:tbl>
    <w:p>
      <w:pPr>
        <w:pStyle w:val="Heading1"/>
        <w:spacing w:after="160" w:before="360"/>
      </w:pPr>
      <w:r>
        <w:t xml:space="preserve">2. Environment and project structure</w:t>
      </w:r>
    </w:p>
    <w:p>
      <w:pPr>
        <w:spacing w:after="120"/>
      </w:pPr>
      <w:r>
        <w:t xml:space="preserve">Language is your choice. The pipeline is identical either way; the only real difference is the deep learning layer. If you want the CANN in R, use torch for R or keras; in Python, use PyTorch. Given your R-first workflow, one pragmatic split is: EDA and GLMs in R (data.table + glm/MASS::glm.nb), CANN in Python (PyTorch). Both read the same cached parquet/CSV.</w:t>
      </w:r>
    </w:p>
    <w:p>
      <w:pPr>
        <w:shd w:fill="F2F4F7" w:val="clear"/>
        <w:spacing w:after="0" w:before="80"/>
      </w:pPr>
      <w:r>
        <w:rPr>
          <w:rFonts w:ascii="Consolas" w:cs="Consolas" w:eastAsia="Consolas" w:hAnsi="Consolas"/>
          <w:sz w:val="17"/>
          <w:szCs w:val="17"/>
        </w:rPr>
        <w:t xml:space="preserve">telematics-cann/</w:t>
      </w:r>
    </w:p>
    <w:p>
      <w:pPr>
        <w:shd w:fill="F2F4F7" w:val="clear"/>
        <w:spacing w:after="0" w:before="0"/>
      </w:pPr>
      <w:r>
        <w:rPr>
          <w:rFonts w:ascii="Consolas" w:cs="Consolas" w:eastAsia="Consolas" w:hAnsi="Consolas"/>
          <w:sz w:val="17"/>
          <w:szCs w:val="17"/>
        </w:rPr>
        <w:t xml:space="preserve">├── data/</w:t>
      </w:r>
    </w:p>
    <w:p>
      <w:pPr>
        <w:shd w:fill="F2F4F7" w:val="clear"/>
        <w:spacing w:after="0" w:before="0"/>
      </w:pPr>
      <w:r>
        <w:rPr>
          <w:rFonts w:ascii="Consolas" w:cs="Consolas" w:eastAsia="Consolas" w:hAnsi="Consolas"/>
          <w:sz w:val="17"/>
          <w:szCs w:val="17"/>
        </w:rPr>
        <w:t xml:space="preserve">│   ├── raw/telematics_syn-032021.csv</w:t>
      </w:r>
    </w:p>
    <w:p>
      <w:pPr>
        <w:shd w:fill="F2F4F7" w:val="clear"/>
        <w:spacing w:after="0" w:before="0"/>
      </w:pPr>
      <w:r>
        <w:rPr>
          <w:rFonts w:ascii="Consolas" w:cs="Consolas" w:eastAsia="Consolas" w:hAnsi="Consolas"/>
          <w:sz w:val="17"/>
          <w:szCs w:val="17"/>
        </w:rPr>
        <w:t xml:space="preserve">│   └── processed/train.parquet, valid.parquet, test.parquet</w:t>
      </w:r>
    </w:p>
    <w:p>
      <w:pPr>
        <w:shd w:fill="F2F4F7" w:val="clear"/>
        <w:spacing w:after="0" w:before="0"/>
      </w:pPr>
      <w:r>
        <w:rPr>
          <w:rFonts w:ascii="Consolas" w:cs="Consolas" w:eastAsia="Consolas" w:hAnsi="Consolas"/>
          <w:sz w:val="17"/>
          <w:szCs w:val="17"/>
        </w:rPr>
        <w:t xml:space="preserve">├── R/</w:t>
      </w:r>
    </w:p>
    <w:p>
      <w:pPr>
        <w:shd w:fill="F2F4F7" w:val="clear"/>
        <w:spacing w:after="0" w:before="0"/>
      </w:pPr>
      <w:r>
        <w:rPr>
          <w:rFonts w:ascii="Consolas" w:cs="Consolas" w:eastAsia="Consolas" w:hAnsi="Consolas"/>
          <w:sz w:val="17"/>
          <w:szCs w:val="17"/>
        </w:rPr>
        <w:t xml:space="preserve">│   ├── 01_eda_dispersion.R</w:t>
      </w:r>
    </w:p>
    <w:p>
      <w:pPr>
        <w:shd w:fill="F2F4F7" w:val="clear"/>
        <w:spacing w:after="0" w:before="0"/>
      </w:pPr>
      <w:r>
        <w:rPr>
          <w:rFonts w:ascii="Consolas" w:cs="Consolas" w:eastAsia="Consolas" w:hAnsi="Consolas"/>
          <w:sz w:val="17"/>
          <w:szCs w:val="17"/>
        </w:rPr>
        <w:t xml:space="preserve">│   └── 02_glm_baselines.R</w:t>
      </w:r>
    </w:p>
    <w:p>
      <w:pPr>
        <w:shd w:fill="F2F4F7" w:val="clear"/>
        <w:spacing w:after="0" w:before="0"/>
      </w:pPr>
      <w:r>
        <w:rPr>
          <w:rFonts w:ascii="Consolas" w:cs="Consolas" w:eastAsia="Consolas" w:hAnsi="Consolas"/>
          <w:sz w:val="17"/>
          <w:szCs w:val="17"/>
        </w:rPr>
        <w:t xml:space="preserve">├── python/</w:t>
      </w:r>
    </w:p>
    <w:p>
      <w:pPr>
        <w:shd w:fill="F2F4F7" w:val="clear"/>
        <w:spacing w:after="0" w:before="0"/>
      </w:pPr>
      <w:r>
        <w:rPr>
          <w:rFonts w:ascii="Consolas" w:cs="Consolas" w:eastAsia="Consolas" w:hAnsi="Consolas"/>
          <w:sz w:val="17"/>
          <w:szCs w:val="17"/>
        </w:rPr>
        <w:t xml:space="preserve">│   ├── 01_eda_dispersion.py</w:t>
      </w:r>
    </w:p>
    <w:p>
      <w:pPr>
        <w:shd w:fill="F2F4F7" w:val="clear"/>
        <w:spacing w:after="0" w:before="0"/>
      </w:pPr>
      <w:r>
        <w:rPr>
          <w:rFonts w:ascii="Consolas" w:cs="Consolas" w:eastAsia="Consolas" w:hAnsi="Consolas"/>
          <w:sz w:val="17"/>
          <w:szCs w:val="17"/>
        </w:rPr>
        <w:t xml:space="preserve">│   ├── 02_glm_baselines.py</w:t>
      </w:r>
    </w:p>
    <w:p>
      <w:pPr>
        <w:shd w:fill="F2F4F7" w:val="clear"/>
        <w:spacing w:after="0" w:before="0"/>
      </w:pPr>
      <w:r>
        <w:rPr>
          <w:rFonts w:ascii="Consolas" w:cs="Consolas" w:eastAsia="Consolas" w:hAnsi="Consolas"/>
          <w:sz w:val="17"/>
          <w:szCs w:val="17"/>
        </w:rPr>
        <w:t xml:space="preserve">│   ├── 03_cann.py</w:t>
      </w:r>
    </w:p>
    <w:p>
      <w:pPr>
        <w:shd w:fill="F2F4F7" w:val="clear"/>
        <w:spacing w:after="0" w:before="0"/>
      </w:pPr>
      <w:r>
        <w:rPr>
          <w:rFonts w:ascii="Consolas" w:cs="Consolas" w:eastAsia="Consolas" w:hAnsi="Consolas"/>
          <w:sz w:val="17"/>
          <w:szCs w:val="17"/>
        </w:rPr>
        <w:t xml:space="preserve">│   └── 04_interpret.py</w:t>
      </w:r>
    </w:p>
    <w:p>
      <w:pPr>
        <w:shd w:fill="F2F4F7" w:val="clear"/>
        <w:spacing w:after="0" w:before="0"/>
      </w:pPr>
      <w:r>
        <w:rPr>
          <w:rFonts w:ascii="Consolas" w:cs="Consolas" w:eastAsia="Consolas" w:hAnsi="Consolas"/>
          <w:sz w:val="17"/>
          <w:szCs w:val="17"/>
        </w:rPr>
        <w:t xml:space="preserve">├── output/  (figures, model cards, metric tables)</w:t>
      </w:r>
    </w:p>
    <w:p>
      <w:pPr>
        <w:shd w:fill="F2F4F7" w:val="clear"/>
        <w:spacing w:after="140" w:before="0"/>
      </w:pPr>
      <w:r>
        <w:rPr>
          <w:rFonts w:ascii="Consolas" w:cs="Consolas" w:eastAsia="Consolas" w:hAnsi="Consolas"/>
          <w:sz w:val="17"/>
          <w:szCs w:val="17"/>
        </w:rPr>
        <w:t xml:space="preserve">└── README.md</w:t>
      </w:r>
    </w:p>
    <w:p>
      <w:pPr>
        <w:spacing w:after="120"/>
      </w:pPr>
      <w:r>
        <w:t xml:space="preserve">Dependencies: R — data.table, MASS, ggplot2, pscl (vuong test), torch. Python — pandas, numpy, statsmodels, scikit-learn, torch, matplotlib, scipy.</w:t>
      </w:r>
    </w:p>
    <w:p>
      <w:pPr>
        <w:pStyle w:val="Heading1"/>
        <w:spacing w:after="160" w:before="360"/>
      </w:pPr>
      <w:r>
        <w:t xml:space="preserve">3. Phase 1 — Exploratory data analysis</w:t>
      </w:r>
    </w:p>
    <w:p>
      <w:pPr>
        <w:spacing w:after="120"/>
      </w:pPr>
      <w:r>
        <w:t xml:space="preserve">Purpose: understand the portfolio before modelling it, and catch data problems that will silently corrupt everything downstream.</w:t>
      </w:r>
    </w:p>
    <w:p>
      <w:pPr>
        <w:pStyle w:val="Heading2"/>
        <w:spacing w:after="120" w:before="280"/>
      </w:pPr>
      <w:r>
        <w:t xml:space="preserve">3.1 Structural checks</w:t>
      </w:r>
    </w:p>
    <w:p>
      <w:pPr>
        <w:pStyle w:val="ListParagraph"/>
        <w:numPr>
          <w:ilvl w:val="0"/>
          <w:numId w:val="3"/>
        </w:numPr>
        <w:spacing w:after="60"/>
      </w:pPr>
      <w:r>
        <w:t xml:space="preserve">Row/column count against the documented 100,000 × 52.</w:t>
      </w:r>
    </w:p>
    <w:p>
      <w:pPr>
        <w:pStyle w:val="ListParagraph"/>
        <w:numPr>
          <w:ilvl w:val="0"/>
          <w:numId w:val="3"/>
        </w:numPr>
        <w:spacing w:after="60"/>
      </w:pPr>
      <w:r>
        <w:t xml:space="preserve">Missing values by column. Expect none; if you find some, decide impute-vs-drop before splitting.</w:t>
      </w:r>
    </w:p>
    <w:p>
      <w:pPr>
        <w:pStyle w:val="ListParagraph"/>
        <w:numPr>
          <w:ilvl w:val="0"/>
          <w:numId w:val="3"/>
        </w:numPr>
        <w:spacing w:after="60"/>
      </w:pPr>
      <w:r>
        <w:t xml:space="preserve">Duplicate rows — SMOTE-generated data can produce near-duplicates.</w:t>
      </w:r>
    </w:p>
    <w:p>
      <w:pPr>
        <w:pStyle w:val="ListParagraph"/>
        <w:numPr>
          <w:ilvl w:val="0"/>
          <w:numId w:val="3"/>
        </w:numPr>
        <w:spacing w:after="60"/>
      </w:pPr>
      <w:r>
        <w:t xml:space="preserve">Data types: confirm Insured.sex, Marital, Car.use, Region parse as categorical and Territory as an integer code (it is a label, not a quantity — treat it as a factor or drop it).</w:t>
      </w:r>
    </w:p>
    <w:p>
      <w:pPr>
        <w:pStyle w:val="ListParagraph"/>
        <w:numPr>
          <w:ilvl w:val="0"/>
          <w:numId w:val="3"/>
        </w:numPr>
        <w:spacing w:after="60"/>
      </w:pPr>
      <w:r>
        <w:t xml:space="preserve">Sanity ranges: Car.age can legitimately be negative (model-year ahead of calendar year). Credit.score bounds. Percentages in [0,1].</w:t>
      </w:r>
    </w:p>
    <w:p>
      <w:pPr>
        <w:pStyle w:val="Heading2"/>
        <w:spacing w:after="120" w:before="280"/>
      </w:pPr>
      <w:r>
        <w:t xml:space="preserve">3.2 Exposure</w:t>
      </w:r>
    </w:p>
    <w:p>
      <w:pPr>
        <w:spacing w:after="120"/>
      </w:pPr>
      <w:r>
        <w:t xml:space="preserve">Duration is in days. Convert to years and use log(exposure) as a fixed offset — never as a free covariate. This is the single most common modelling error in claim frequency work: an unconstrained duration coefficient lets the model absorb exposure into the risk signal and destroys the interpretation of your frequency.</w:t>
      </w:r>
    </w:p>
    <w:p>
      <w:pPr>
        <w:shd w:fill="F2F4F7" w:val="clear"/>
        <w:spacing w:after="0" w:before="80"/>
      </w:pPr>
      <w:r>
        <w:rPr>
          <w:rFonts w:ascii="Consolas" w:cs="Consolas" w:eastAsia="Consolas" w:hAnsi="Consolas"/>
          <w:sz w:val="17"/>
          <w:szCs w:val="17"/>
        </w:rPr>
        <w:t xml:space="preserve">df['expo'] = df['Duration'] / 365.0</w:t>
      </w:r>
    </w:p>
    <w:p>
      <w:pPr>
        <w:shd w:fill="F2F4F7" w:val="clear"/>
        <w:spacing w:after="0" w:before="0"/>
      </w:pPr>
      <w:r>
        <w:rPr>
          <w:rFonts w:ascii="Consolas" w:cs="Consolas" w:eastAsia="Consolas" w:hAnsi="Consolas"/>
          <w:sz w:val="17"/>
          <w:szCs w:val="17"/>
        </w:rPr>
        <w:t xml:space="preserve"># in the GLM:  offset = np.log(df['expo'])</w:t>
      </w:r>
    </w:p>
    <w:p>
      <w:pPr>
        <w:shd w:fill="F2F4F7" w:val="clear"/>
        <w:spacing w:after="140" w:before="0"/>
      </w:pPr>
      <w:r>
        <w:rPr>
          <w:rFonts w:ascii="Consolas" w:cs="Consolas" w:eastAsia="Consolas" w:hAnsi="Consolas"/>
          <w:sz w:val="17"/>
          <w:szCs w:val="17"/>
        </w:rPr>
        <w:t xml:space="preserve"># equivalently in R:  glm(NB_Claim ~ ... + offset(log(expo)), family = poisson)</w:t>
      </w:r>
    </w:p>
    <w:p>
      <w:pPr>
        <w:pStyle w:val="Heading2"/>
        <w:spacing w:after="120" w:before="280"/>
      </w:pPr>
      <w:r>
        <w:t xml:space="preserve">3.3 Response distribution</w:t>
      </w:r>
    </w:p>
    <w:p>
      <w:pPr>
        <w:pStyle w:val="ListParagraph"/>
        <w:numPr>
          <w:ilvl w:val="0"/>
          <w:numId w:val="2"/>
        </w:numPr>
        <w:spacing w:after="60"/>
      </w:pPr>
      <w:r>
        <w:t xml:space="preserve">Frequency table of NB_Claim (0, 1, 2, 3, …) with shares.</w:t>
      </w:r>
    </w:p>
    <w:p>
      <w:pPr>
        <w:pStyle w:val="ListParagraph"/>
        <w:numPr>
          <w:ilvl w:val="0"/>
          <w:numId w:val="2"/>
        </w:numPr>
        <w:spacing w:after="60"/>
      </w:pPr>
      <w:r>
        <w:t xml:space="preserve">Share of policies with ≥1 claim.</w:t>
      </w:r>
    </w:p>
    <w:p>
      <w:pPr>
        <w:pStyle w:val="ListParagraph"/>
        <w:numPr>
          <w:ilvl w:val="0"/>
          <w:numId w:val="2"/>
        </w:numPr>
        <w:spacing w:after="60"/>
      </w:pPr>
      <w:r>
        <w:t xml:space="preserve">Total claims and total exposure — the portfolio-level frequency, which every model must reproduce.</w:t>
      </w:r>
    </w:p>
    <w:p>
      <w:pPr>
        <w:pStyle w:val="Heading2"/>
        <w:spacing w:after="120" w:before="280"/>
      </w:pPr>
      <w:r>
        <w:t xml:space="preserve">3.4 Univariate profiling</w:t>
      </w:r>
    </w:p>
    <w:p>
      <w:pPr>
        <w:pStyle w:val="ListParagraph"/>
        <w:numPr>
          <w:ilvl w:val="0"/>
          <w:numId w:val="2"/>
        </w:numPr>
        <w:spacing w:after="60"/>
      </w:pPr>
      <w:r>
        <w:t xml:space="preserve">Numerics: mean, sd, min, median, max, skew, and share of exact zeros. Harsh-event counts and turn intensities will be strongly right-skewed with many zeros — note which ones.</w:t>
      </w:r>
    </w:p>
    <w:p>
      <w:pPr>
        <w:pStyle w:val="ListParagraph"/>
        <w:numPr>
          <w:ilvl w:val="0"/>
          <w:numId w:val="2"/>
        </w:numPr>
        <w:spacing w:after="60"/>
      </w:pPr>
      <w:r>
        <w:t xml:space="preserve">Categoricals: level counts. Flag any level with very few observations; these produce unstable GLM coefficients and should be merged.</w:t>
      </w:r>
    </w:p>
    <w:p>
      <w:pPr>
        <w:pStyle w:val="Heading2"/>
        <w:spacing w:after="120" w:before="280"/>
      </w:pPr>
      <w:r>
        <w:t xml:space="preserve">3.5 One-way actuarial analysis</w:t>
      </w:r>
    </w:p>
    <w:p>
      <w:pPr>
        <w:spacing w:after="120"/>
      </w:pPr>
      <w:r>
        <w:t xml:space="preserve">This is the classical actuarial exploration and it should be the backbone of your EDA section. For each candidate variable, band it (quantiles for continuous), and compute exposure-weighted observed frequency per band:</w:t>
      </w:r>
    </w:p>
    <w:p>
      <w:pPr>
        <w:shd w:fill="F2F4F7" w:val="clear"/>
        <w:spacing w:after="140" w:before="80"/>
      </w:pPr>
      <w:r>
        <w:rPr>
          <w:rFonts w:ascii="Consolas" w:cs="Consolas" w:eastAsia="Consolas" w:hAnsi="Consolas"/>
          <w:sz w:val="17"/>
          <w:szCs w:val="17"/>
        </w:rPr>
        <w:t xml:space="preserve">freq_band = sum(NB_Claim in band) / sum(exposure in band)</w:t>
      </w:r>
    </w:p>
    <w:p>
      <w:pPr>
        <w:spacing w:after="120"/>
      </w:pPr>
      <w:r>
        <w:t xml:space="preserve">Plot frequency against band, with exposure as bar height behind it. You are looking for: monotone signal (good — a linear term will do), U-shapes (needs a spline or banding), and noisy bands with tiny exposure (needs merging). Do this for age, car use, region, mileage, rush-hour percentages, and at least one harsh-braking variable.</w:t>
      </w:r>
    </w:p>
    <w:p>
      <w:pPr>
        <w:pStyle w:val="Heading2"/>
        <w:spacing w:after="120" w:before="280"/>
      </w:pPr>
      <w:r>
        <w:t xml:space="preserve">3.6 Telematics collinearity</w:t>
      </w:r>
    </w:p>
    <w:p>
      <w:pPr>
        <w:spacing w:after="120"/>
      </w:pPr>
      <w:r>
        <w:t xml:space="preserve">The harsh-event and turn-intensity families are nested threshold counts, so they are near-collinear by construction; the day-of-week percentages are compositional and sum to one. Produce the absolute correlation matrix of telematics features and list the top pairs. Any pair above roughly 0.9 is effectively one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8" w:val="clear"/>
            <w:tcMar>
              <w:top w:type="dxa" w:w="120"/>
              <w:left w:type="dxa" w:w="160"/>
              <w:bottom w:type="dxa" w:w="120"/>
              <w:right w:type="dxa" w:w="160"/>
            </w:tcMar>
          </w:tcPr>
          <w:p>
            <w:pPr>
              <w:spacing w:after="60"/>
            </w:pPr>
            <w:r>
              <w:rPr>
                <w:b/>
                <w:bCs/>
                <w:color w:val="1F4E79"/>
                <w:sz w:val="20"/>
                <w:szCs w:val="20"/>
              </w:rPr>
              <w:t xml:space="preserve">Why this matters for the paper's argument</w:t>
            </w:r>
          </w:p>
          <w:p>
            <w:pPr>
              <w:spacing w:after="60"/>
            </w:pPr>
            <w:r>
              <w:rPr>
                <w:sz w:val="20"/>
                <w:szCs w:val="20"/>
              </w:rPr>
              <w:t xml:space="preserve">This collinearity is precisely the reason the CANN puts telematics into the MLP and not into the log-linear part. A GLM needs you to hand-pick and de-correlate features; a neural network can absorb a redundant correlated block. When you write this project up, this observation is the bridge between your EDA and your architecture choice.</w:t>
            </w:r>
          </w:p>
        </w:tc>
      </w:tr>
    </w:tbl>
    <w:p>
      <w:pPr>
        <w:pStyle w:val="Heading1"/>
        <w:spacing w:after="160" w:before="360"/>
      </w:pPr>
      <w:r>
        <w:t xml:space="preserve">4. Phase 2 — Dispersion diagnostics (Poisson vs Negative Binomial)</w:t>
      </w:r>
    </w:p>
    <w:p>
      <w:pPr>
        <w:spacing w:after="120"/>
      </w:pPr>
      <w:r>
        <w:t xml:space="preserve">This is the statistical heart of the project and deserves its own section in your write-up. The question: does the claim count satisfy the Poisson equidispersion assumption E[Y] = Var(Y), or is there overdispersion requiring a Negative Binomial?</w:t>
      </w:r>
    </w:p>
    <w:p>
      <w:pPr>
        <w:pStyle w:val="Heading2"/>
        <w:spacing w:after="120" w:before="280"/>
      </w:pPr>
      <w:r>
        <w:t xml:space="preserve">4.1 Unconditional (marginal) check</w:t>
      </w:r>
    </w:p>
    <w:p>
      <w:pPr>
        <w:shd w:fill="F2F4F7" w:val="clear"/>
        <w:spacing w:after="0" w:before="80"/>
      </w:pPr>
      <w:r>
        <w:rPr>
          <w:rFonts w:ascii="Consolas" w:cs="Consolas" w:eastAsia="Consolas" w:hAnsi="Consolas"/>
          <w:sz w:val="17"/>
          <w:szCs w:val="17"/>
        </w:rPr>
        <w:t xml:space="preserve">m = y.mean(); v = y.var(ddof=1)</w:t>
      </w:r>
    </w:p>
    <w:p>
      <w:pPr>
        <w:shd w:fill="F2F4F7" w:val="clear"/>
        <w:spacing w:after="140" w:before="0"/>
      </w:pPr>
      <w:r>
        <w:rPr>
          <w:rFonts w:ascii="Consolas" w:cs="Consolas" w:eastAsia="Consolas" w:hAnsi="Consolas"/>
          <w:sz w:val="17"/>
          <w:szCs w:val="17"/>
        </w:rPr>
        <w:t xml:space="preserve">ratio = v / m          # 1 =&gt; Poisson-consistent, &gt;1 =&gt; overdispersed</w:t>
      </w:r>
    </w:p>
    <w:p>
      <w:pPr>
        <w:spacing w:after="120"/>
      </w:pPr>
      <w:r>
        <w:t xml:space="preserve">Report the mean, the variance, and the ratio. Also compare the observed number of zeros against the number a Poisson with that mean would predict — a large excess of zeros points toward zero-inflation as well as, or instead of, plain overdispersion.</w:t>
      </w:r>
    </w:p>
    <w:p>
      <w:pPr>
        <w:pStyle w:val="Heading2"/>
        <w:spacing w:after="120" w:before="280"/>
      </w:pPr>
      <w:r>
        <w:t xml:space="preserve">4.2 Cameron–Trivedi score test</w:t>
      </w:r>
    </w:p>
    <w:p>
      <w:pPr>
        <w:spacing w:after="120"/>
      </w:pPr>
      <w:r>
        <w:t xml:space="preserve">A formal test of H₀: Var = μ against H₁: Var = μ + αμ² (the NB2 variance function). Construct the auxiliary variable and test whether its mean is zero:</w:t>
      </w:r>
    </w:p>
    <w:p>
      <w:pPr>
        <w:shd w:fill="F2F4F7" w:val="clear"/>
        <w:spacing w:after="0" w:before="80"/>
      </w:pPr>
      <w:r>
        <w:rPr>
          <w:rFonts w:ascii="Consolas" w:cs="Consolas" w:eastAsia="Consolas" w:hAnsi="Consolas"/>
          <w:sz w:val="17"/>
          <w:szCs w:val="17"/>
        </w:rPr>
        <w:t xml:space="preserve">z = ((y - mu_hat)**2 - y) / (mu_hat * sqrt(2))</w:t>
      </w:r>
    </w:p>
    <w:p>
      <w:pPr>
        <w:shd w:fill="F2F4F7" w:val="clear"/>
        <w:spacing w:after="140" w:before="0"/>
      </w:pPr>
      <w:r>
        <w:rPr>
          <w:rFonts w:ascii="Consolas" w:cs="Consolas" w:eastAsia="Consolas" w:hAnsi="Consolas"/>
          <w:sz w:val="17"/>
          <w:szCs w:val="17"/>
        </w:rPr>
        <w:t xml:space="preserve">t = z.mean() / (z.std(ddof=1) / sqrt(n))     # |t| &gt; 1.96 =&gt; reject equidispersion</w:t>
      </w:r>
    </w:p>
    <w:p>
      <w:pPr>
        <w:pStyle w:val="Heading2"/>
        <w:spacing w:after="120" w:before="280"/>
      </w:pPr>
      <w:r>
        <w:t xml:space="preserve">4.3 Conditional dispersion — the one that actually decides it</w:t>
      </w:r>
    </w:p>
    <w:p>
      <w:pPr>
        <w:spacing w:after="120"/>
      </w:pPr>
      <w:r>
        <w:t xml:space="preserve">The marginal variance-to-mean ratio is inflated by heterogeneity that your covariates may well explain. The decision must be made on the residual dispersion AFTER fitting the Poisson GLM. Fit the Poisson GLM, then compute the Pearson dispersion:</w:t>
      </w:r>
    </w:p>
    <w:p>
      <w:pPr>
        <w:shd w:fill="F2F4F7" w:val="clear"/>
        <w:spacing w:after="0" w:before="80"/>
      </w:pPr>
      <w:r>
        <w:rPr>
          <w:rFonts w:ascii="Consolas" w:cs="Consolas" w:eastAsia="Consolas" w:hAnsi="Consolas"/>
          <w:sz w:val="17"/>
          <w:szCs w:val="17"/>
        </w:rPr>
        <w:t xml:space="preserve">phi = sum((y - mu_fitted)**2 / mu_fitted) / (n - p)</w:t>
      </w:r>
    </w:p>
    <w:p>
      <w:pPr>
        <w:shd w:fill="F2F4F7" w:val="clear"/>
        <w:spacing w:after="0" w:before="0"/>
      </w:pPr>
      <w:r>
        <w:rPr>
          <w:rFonts w:ascii="Consolas" w:cs="Consolas" w:eastAsia="Consolas" w:hAnsi="Consolas"/>
          <w:sz w:val="17"/>
          <w:szCs w:val="17"/>
        </w:rPr>
        <w:t xml:space="preserve"># phi ~= 1  -&gt; covariates explained the heterogeneity, Poisson is adequate</w:t>
      </w:r>
    </w:p>
    <w:p>
      <w:pPr>
        <w:shd w:fill="F2F4F7" w:val="clear"/>
        <w:spacing w:after="140" w:before="0"/>
      </w:pPr>
      <w:r>
        <w:rPr>
          <w:rFonts w:ascii="Consolas" w:cs="Consolas" w:eastAsia="Consolas" w:hAnsi="Consolas"/>
          <w:sz w:val="17"/>
          <w:szCs w:val="17"/>
        </w:rPr>
        <w:t xml:space="preserve"># phi &gt;  1  -&gt; residual overdispersion remains -&gt; Negative Binomial justified</w:t>
      </w:r>
    </w:p>
    <w:p>
      <w:pPr>
        <w:spacing w:after="120"/>
      </w:pPr>
      <w:r>
        <w:t xml:space="preserve">Then fit the NB GLM on the same design and run a likelihood-ratio test. Because α = 0 sits on the boundary of the parameter space, the null distribution is a 50:50 mixture of a point mass at zero and χ²₁, so halve the usual p-value. Report the estimated α̂ and its implied variance function.</w:t>
      </w:r>
    </w:p>
    <w:p>
      <w:pPr>
        <w:pStyle w:val="Heading2"/>
        <w:spacing w:after="120" w:before="280"/>
      </w:pPr>
      <w:r>
        <w:t xml:space="preserve">4.4 What to conclude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shd w:fill="1F4E79" w:val="clear"/>
            <w:tcMar>
              <w:top w:type="dxa" w:w="80"/>
              <w:left w:type="dxa" w:w="100"/>
              <w:bottom w:type="dxa" w:w="80"/>
              <w:right w:type="dxa" w:w="100"/>
            </w:tcMar>
          </w:tcPr>
          <w:p>
            <w:r>
              <w:rPr>
                <w:b/>
                <w:bCs/>
                <w:color w:val="FFFFFF"/>
                <w:sz w:val="18"/>
                <w:szCs w:val="18"/>
              </w:rPr>
              <w:t xml:space="preserve">Finding</w:t>
            </w:r>
          </w:p>
        </w:tc>
        <w:tc>
          <w:tcPr>
            <w:tcW w:type="dxa" w:w="3600"/>
            <w:shd w:fill="1F4E79" w:val="clear"/>
            <w:tcMar>
              <w:top w:type="dxa" w:w="80"/>
              <w:left w:type="dxa" w:w="100"/>
              <w:bottom w:type="dxa" w:w="80"/>
              <w:right w:type="dxa" w:w="100"/>
            </w:tcMar>
          </w:tcPr>
          <w:p>
            <w:r>
              <w:rPr>
                <w:b/>
                <w:bCs/>
                <w:color w:val="FFFFFF"/>
                <w:sz w:val="18"/>
                <w:szCs w:val="18"/>
              </w:rPr>
              <w:t xml:space="preserve">Interpretation</w:t>
            </w:r>
          </w:p>
        </w:tc>
        <w:tc>
          <w:tcPr>
            <w:tcW w:type="dxa" w:w="3160"/>
            <w:shd w:fill="1F4E79" w:val="clear"/>
            <w:tcMar>
              <w:top w:type="dxa" w:w="80"/>
              <w:left w:type="dxa" w:w="100"/>
              <w:bottom w:type="dxa" w:w="80"/>
              <w:right w:type="dxa" w:w="100"/>
            </w:tcMar>
          </w:tcPr>
          <w:p>
            <w:r>
              <w:rPr>
                <w:b/>
                <w:bCs/>
                <w:color w:val="FFFFFF"/>
                <w:sz w:val="18"/>
                <w:szCs w:val="18"/>
              </w:rPr>
              <w:t xml:space="preserve">Action</w:t>
            </w:r>
          </w:p>
        </w:tc>
      </w:tr>
      <w:tr>
        <w:tc>
          <w:tcPr>
            <w:tcW w:type="dxa" w:w="2600"/>
            <w:shd w:fill="FFFFFF" w:val="clear"/>
            <w:tcMar>
              <w:top w:type="dxa" w:w="70"/>
              <w:left w:type="dxa" w:w="100"/>
              <w:bottom w:type="dxa" w:w="70"/>
              <w:right w:type="dxa" w:w="100"/>
            </w:tcMar>
          </w:tcPr>
          <w:p>
            <w:r>
              <w:rPr>
                <w:sz w:val="18"/>
                <w:szCs w:val="18"/>
              </w:rPr>
              <w:t xml:space="preserve">φ ≈ 1, LR test not significant</w:t>
            </w:r>
          </w:p>
        </w:tc>
        <w:tc>
          <w:tcPr>
            <w:tcW w:type="dxa" w:w="3600"/>
            <w:shd w:fill="FFFFFF" w:val="clear"/>
            <w:tcMar>
              <w:top w:type="dxa" w:w="70"/>
              <w:left w:type="dxa" w:w="100"/>
              <w:bottom w:type="dxa" w:w="70"/>
              <w:right w:type="dxa" w:w="100"/>
            </w:tcMar>
          </w:tcPr>
          <w:p>
            <w:r>
              <w:rPr>
                <w:sz w:val="18"/>
                <w:szCs w:val="18"/>
              </w:rPr>
              <w:t xml:space="preserve">Covariates absorbed the heterogeneity</w:t>
            </w:r>
          </w:p>
        </w:tc>
        <w:tc>
          <w:tcPr>
            <w:tcW w:type="dxa" w:w="3160"/>
            <w:shd w:fill="FFFFFF" w:val="clear"/>
            <w:tcMar>
              <w:top w:type="dxa" w:w="70"/>
              <w:left w:type="dxa" w:w="100"/>
              <w:bottom w:type="dxa" w:w="70"/>
              <w:right w:type="dxa" w:w="100"/>
            </w:tcMar>
          </w:tcPr>
          <w:p>
            <w:r>
              <w:rPr>
                <w:sz w:val="18"/>
                <w:szCs w:val="18"/>
              </w:rPr>
              <w:t xml:space="preserve">Poisson is defensible; NB adds nothing</w:t>
            </w:r>
          </w:p>
        </w:tc>
      </w:tr>
      <w:tr>
        <w:tc>
          <w:tcPr>
            <w:tcW w:type="dxa" w:w="2600"/>
            <w:shd w:fill="F7F9FC" w:val="clear"/>
            <w:tcMar>
              <w:top w:type="dxa" w:w="70"/>
              <w:left w:type="dxa" w:w="100"/>
              <w:bottom w:type="dxa" w:w="70"/>
              <w:right w:type="dxa" w:w="100"/>
            </w:tcMar>
          </w:tcPr>
          <w:p>
            <w:r>
              <w:rPr>
                <w:sz w:val="18"/>
                <w:szCs w:val="18"/>
              </w:rPr>
              <w:t xml:space="preserve">φ &gt; 1, LR significant, α̂ &gt; 0</w:t>
            </w:r>
          </w:p>
        </w:tc>
        <w:tc>
          <w:tcPr>
            <w:tcW w:type="dxa" w:w="3600"/>
            <w:shd w:fill="F7F9FC" w:val="clear"/>
            <w:tcMar>
              <w:top w:type="dxa" w:w="70"/>
              <w:left w:type="dxa" w:w="100"/>
              <w:bottom w:type="dxa" w:w="70"/>
              <w:right w:type="dxa" w:w="100"/>
            </w:tcMar>
          </w:tcPr>
          <w:p>
            <w:r>
              <w:rPr>
                <w:sz w:val="18"/>
                <w:szCs w:val="18"/>
              </w:rPr>
              <w:t xml:space="preserve">Unobserved heterogeneity remains (frailty)</w:t>
            </w:r>
          </w:p>
        </w:tc>
        <w:tc>
          <w:tcPr>
            <w:tcW w:type="dxa" w:w="3160"/>
            <w:shd w:fill="F7F9FC" w:val="clear"/>
            <w:tcMar>
              <w:top w:type="dxa" w:w="70"/>
              <w:left w:type="dxa" w:w="100"/>
              <w:bottom w:type="dxa" w:w="70"/>
              <w:right w:type="dxa" w:w="100"/>
            </w:tcMar>
          </w:tcPr>
          <w:p>
            <w:r>
              <w:rPr>
                <w:sz w:val="18"/>
                <w:szCs w:val="18"/>
              </w:rPr>
              <w:t xml:space="preserve">Use NB; report α̂</w:t>
            </w:r>
          </w:p>
        </w:tc>
      </w:tr>
      <w:tr>
        <w:tc>
          <w:tcPr>
            <w:tcW w:type="dxa" w:w="2600"/>
            <w:shd w:fill="FFFFFF" w:val="clear"/>
            <w:tcMar>
              <w:top w:type="dxa" w:w="70"/>
              <w:left w:type="dxa" w:w="100"/>
              <w:bottom w:type="dxa" w:w="70"/>
              <w:right w:type="dxa" w:w="100"/>
            </w:tcMar>
          </w:tcPr>
          <w:p>
            <w:r>
              <w:rPr>
                <w:sz w:val="18"/>
                <w:szCs w:val="18"/>
              </w:rPr>
              <w:t xml:space="preserve">Many more zeros than NB predicts</w:t>
            </w:r>
          </w:p>
        </w:tc>
        <w:tc>
          <w:tcPr>
            <w:tcW w:type="dxa" w:w="3600"/>
            <w:shd w:fill="FFFFFF" w:val="clear"/>
            <w:tcMar>
              <w:top w:type="dxa" w:w="70"/>
              <w:left w:type="dxa" w:w="100"/>
              <w:bottom w:type="dxa" w:w="70"/>
              <w:right w:type="dxa" w:w="100"/>
            </w:tcMar>
          </w:tcPr>
          <w:p>
            <w:r>
              <w:rPr>
                <w:sz w:val="18"/>
                <w:szCs w:val="18"/>
              </w:rPr>
              <w:t xml:space="preserve">Structural zeros (drivers who cannot claim)</w:t>
            </w:r>
          </w:p>
        </w:tc>
        <w:tc>
          <w:tcPr>
            <w:tcW w:type="dxa" w:w="3160"/>
            <w:shd w:fill="FFFFFF" w:val="clear"/>
            <w:tcMar>
              <w:top w:type="dxa" w:w="70"/>
              <w:left w:type="dxa" w:w="100"/>
              <w:bottom w:type="dxa" w:w="70"/>
              <w:right w:type="dxa" w:w="100"/>
            </w:tcMar>
          </w:tcPr>
          <w:p>
            <w:r>
              <w:rPr>
                <w:sz w:val="18"/>
                <w:szCs w:val="18"/>
              </w:rPr>
              <w:t xml:space="preserve">Consider zero-inflated NB as an extension</w:t>
            </w:r>
          </w:p>
        </w:tc>
      </w:tr>
    </w:tbl>
    <w:p>
      <w:pPr>
        <w:spacing w:after="120"/>
      </w:pPr>
      <w:r>
        <w:t xml:space="preserve">Frame the conclusion in actuarial language: the NB arises as a Poisson–Gamma mixture, where the Gamma frailty represents risk characteristics the rating factors do not capture. α̂ is a direct measure of how much unexplained heterogeneity remains in your portfolio — and, usefully, it should SHRINK when you add informative telematics features. Reporting α̂ before and after adding telematics is one of the most persuasive results you can produce in this project.</w:t>
      </w:r>
    </w:p>
    <w:p>
      <w:pPr>
        <w:pStyle w:val="Heading1"/>
        <w:spacing w:after="160" w:before="360"/>
      </w:pPr>
      <w:r>
        <w:t xml:space="preserve">5. Phase 3 — Data preparation and variable selection</w:t>
      </w:r>
    </w:p>
    <w:p>
      <w:pPr>
        <w:pStyle w:val="Heading2"/>
        <w:spacing w:after="120" w:before="280"/>
      </w:pPr>
      <w:r>
        <w:t xml:space="preserve">5.1 Splitting</w:t>
      </w:r>
    </w:p>
    <w:p>
      <w:pPr>
        <w:spacing w:after="120"/>
      </w:pPr>
      <w:r>
        <w:t xml:space="preserve">Split 60 / 20 / 20 into training, validation and testing, stratified on whether a claim occurred so that the rare positive class is represented in all three. Because this dataset is cross-sectional, a simple random split is valid — you do not have the paper's constraint of keeping all contracts of one vehicle in the same fold. Fix the seed and save the three files.</w:t>
      </w:r>
    </w:p>
    <w:p>
      <w:pPr>
        <w:spacing w:after="120"/>
      </w:pPr>
      <w:r>
        <w:t xml:space="preserve">Training set: fit parameters. Validation set: tune hyperparameters and early stopping. Test set: touched exactly once, at the very end. Any hyperparameter chosen by looking at the test set invalidates your reported performance.</w:t>
      </w:r>
    </w:p>
    <w:p>
      <w:pPr>
        <w:pStyle w:val="Heading2"/>
        <w:spacing w:after="120" w:before="280"/>
      </w:pPr>
      <w:r>
        <w:t xml:space="preserve">5.2 Encoding</w:t>
      </w:r>
    </w:p>
    <w:p>
      <w:pPr>
        <w:pStyle w:val="ListParagraph"/>
        <w:numPr>
          <w:ilvl w:val="0"/>
          <w:numId w:val="2"/>
        </w:numPr>
        <w:spacing w:after="60"/>
      </w:pPr>
      <w:r>
        <w:t xml:space="preserve">Categoricals: one-hot with a dropped reference level for the GLM. For the network, either one-hot or (better, and closer to the paper's discussion of Schelldorfer &amp; Wüthrich) an embedding layer for high-cardinality Territory.</w:t>
      </w:r>
    </w:p>
    <w:p>
      <w:pPr>
        <w:pStyle w:val="ListParagraph"/>
        <w:numPr>
          <w:ilvl w:val="0"/>
          <w:numId w:val="2"/>
        </w:numPr>
        <w:spacing w:after="60"/>
      </w:pPr>
      <w:r>
        <w:t xml:space="preserve">Territory: ~55 levels. Options — drop it, group it by observed frequency into a handful of bands, or embed it. Do not one-hot 55 columns into a GLM alongside everything else.</w:t>
      </w:r>
    </w:p>
    <w:p>
      <w:pPr>
        <w:pStyle w:val="ListParagraph"/>
        <w:numPr>
          <w:ilvl w:val="0"/>
          <w:numId w:val="2"/>
        </w:numPr>
        <w:spacing w:after="60"/>
      </w:pPr>
      <w:r>
        <w:t xml:space="preserve">Numerics: standardise (z-score) using training-set statistics only, then apply those same statistics to validation and test. Leakage here is subtle and common.</w:t>
      </w:r>
    </w:p>
    <w:p>
      <w:pPr>
        <w:pStyle w:val="ListParagraph"/>
        <w:numPr>
          <w:ilvl w:val="0"/>
          <w:numId w:val="2"/>
        </w:numPr>
        <w:spacing w:after="60"/>
      </w:pPr>
      <w:r>
        <w:t xml:space="preserve">Skewed counts (harsh events): consider log(1+x) before standardising.</w:t>
      </w:r>
    </w:p>
    <w:p>
      <w:pPr>
        <w:pStyle w:val="Heading2"/>
        <w:spacing w:after="120" w:before="280"/>
      </w:pPr>
      <w:r>
        <w:t xml:space="preserve">5.3 Variable selection for the GLM benchmark</w:t>
      </w:r>
    </w:p>
    <w:p>
      <w:pPr>
        <w:spacing w:after="120"/>
      </w:pPr>
      <w:r>
        <w:t xml:space="preserve">The paper's benchmark is deliberately a hand-crafted model: a log-linear model on traditional factors plus manually engineered telematics features. Reproduce that spirit — do not throw all 39 telematics columns into the GLM. Instead:</w:t>
      </w:r>
    </w:p>
    <w:p>
      <w:pPr>
        <w:pStyle w:val="ListParagraph"/>
        <w:numPr>
          <w:ilvl w:val="0"/>
          <w:numId w:val="3"/>
        </w:numPr>
        <w:spacing w:after="60"/>
      </w:pPr>
      <w:r>
        <w:t xml:space="preserve">Start from the traditional factors.</w:t>
      </w:r>
    </w:p>
    <w:p>
      <w:pPr>
        <w:pStyle w:val="ListParagraph"/>
        <w:numPr>
          <w:ilvl w:val="0"/>
          <w:numId w:val="3"/>
        </w:numPr>
        <w:spacing w:after="60"/>
      </w:pPr>
      <w:r>
        <w:t xml:space="preserve">Add a small, defensible set of telematics features chosen from your one-way analysis and the collinearity screen — e.g. Total.miles.driven, Pct.drive.rush pm, Pct.drive.wkend, Avgdays.week, and ONE harsh-braking threshold.</w:t>
      </w:r>
    </w:p>
    <w:p>
      <w:pPr>
        <w:pStyle w:val="ListParagraph"/>
        <w:numPr>
          <w:ilvl w:val="0"/>
          <w:numId w:val="3"/>
        </w:numPr>
        <w:spacing w:after="60"/>
      </w:pPr>
      <w:r>
        <w:t xml:space="preserve">Check VIFs; drop anything above ~5–10.</w:t>
      </w:r>
    </w:p>
    <w:p>
      <w:pPr>
        <w:pStyle w:val="ListParagraph"/>
        <w:numPr>
          <w:ilvl w:val="0"/>
          <w:numId w:val="3"/>
        </w:numPr>
        <w:spacing w:after="60"/>
      </w:pPr>
      <w:r>
        <w:t xml:space="preserve">Use stepwise AIC or LASSO if you want a systematic screen, but report the manual model too — the contrast between hand-crafted and learned features is the paper's whole point.</w:t>
      </w:r>
    </w:p>
    <w:p>
      <w:pPr>
        <w:pStyle w:val="Heading2"/>
        <w:spacing w:after="120" w:before="280"/>
      </w:pPr>
      <w:r>
        <w:t xml:space="preserve">5.4 The four model sets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200"/>
        <w:gridCol w:w="3360"/>
      </w:tblGrid>
      <w:tr>
        <w:trPr>
          <w:tblHeader/>
        </w:trPr>
        <w:tc>
          <w:tcPr>
            <w:tcW w:type="dxa" w:w="1900"/>
            <w:shd w:fill="1F4E79" w:val="clear"/>
            <w:tcMar>
              <w:top w:type="dxa" w:w="80"/>
              <w:left w:type="dxa" w:w="100"/>
              <w:bottom w:type="dxa" w:w="80"/>
              <w:right w:type="dxa" w:w="100"/>
            </w:tcMar>
          </w:tcPr>
          <w:p>
            <w:r>
              <w:rPr>
                <w:b/>
                <w:bCs/>
                <w:color w:val="FFFFFF"/>
                <w:sz w:val="18"/>
                <w:szCs w:val="18"/>
              </w:rPr>
              <w:t xml:space="preserve">Model</w:t>
            </w:r>
          </w:p>
        </w:tc>
        <w:tc>
          <w:tcPr>
            <w:tcW w:type="dxa" w:w="1900"/>
            <w:shd w:fill="1F4E79" w:val="clear"/>
            <w:tcMar>
              <w:top w:type="dxa" w:w="80"/>
              <w:left w:type="dxa" w:w="100"/>
              <w:bottom w:type="dxa" w:w="80"/>
              <w:right w:type="dxa" w:w="100"/>
            </w:tcMar>
          </w:tcPr>
          <w:p>
            <w:r>
              <w:rPr>
                <w:b/>
                <w:bCs/>
                <w:color w:val="FFFFFF"/>
                <w:sz w:val="18"/>
                <w:szCs w:val="18"/>
              </w:rPr>
              <w:t xml:space="preserve">Traditional</w:t>
            </w:r>
          </w:p>
        </w:tc>
        <w:tc>
          <w:tcPr>
            <w:tcW w:type="dxa" w:w="2200"/>
            <w:shd w:fill="1F4E79" w:val="clear"/>
            <w:tcMar>
              <w:top w:type="dxa" w:w="80"/>
              <w:left w:type="dxa" w:w="100"/>
              <w:bottom w:type="dxa" w:w="80"/>
              <w:right w:type="dxa" w:w="100"/>
            </w:tcMar>
          </w:tcPr>
          <w:p>
            <w:r>
              <w:rPr>
                <w:b/>
                <w:bCs/>
                <w:color w:val="FFFFFF"/>
                <w:sz w:val="18"/>
                <w:szCs w:val="18"/>
              </w:rPr>
              <w:t xml:space="preserve">Telematics</w:t>
            </w:r>
          </w:p>
        </w:tc>
        <w:tc>
          <w:tcPr>
            <w:tcW w:type="dxa" w:w="3360"/>
            <w:shd w:fill="1F4E79" w:val="clear"/>
            <w:tcMar>
              <w:top w:type="dxa" w:w="80"/>
              <w:left w:type="dxa" w:w="100"/>
              <w:bottom w:type="dxa" w:w="80"/>
              <w:right w:type="dxa" w:w="100"/>
            </w:tcMar>
          </w:tcPr>
          <w:p>
            <w:r>
              <w:rPr>
                <w:b/>
                <w:bCs/>
                <w:color w:val="FFFFFF"/>
                <w:sz w:val="18"/>
                <w:szCs w:val="18"/>
              </w:rPr>
              <w:t xml:space="preserve">Role</w:t>
            </w:r>
          </w:p>
        </w:tc>
      </w:tr>
      <w:tr>
        <w:tc>
          <w:tcPr>
            <w:tcW w:type="dxa" w:w="1900"/>
            <w:shd w:fill="FFFFFF" w:val="clear"/>
            <w:tcMar>
              <w:top w:type="dxa" w:w="70"/>
              <w:left w:type="dxa" w:w="100"/>
              <w:bottom w:type="dxa" w:w="70"/>
              <w:right w:type="dxa" w:w="100"/>
            </w:tcMar>
          </w:tcPr>
          <w:p>
            <w:r>
              <w:rPr>
                <w:sz w:val="18"/>
                <w:szCs w:val="18"/>
              </w:rPr>
              <w:t xml:space="preserve">GLM-A</w:t>
            </w:r>
          </w:p>
        </w:tc>
        <w:tc>
          <w:tcPr>
            <w:tcW w:type="dxa" w:w="1900"/>
            <w:shd w:fill="FFFFFF" w:val="clear"/>
            <w:tcMar>
              <w:top w:type="dxa" w:w="70"/>
              <w:left w:type="dxa" w:w="100"/>
              <w:bottom w:type="dxa" w:w="70"/>
              <w:right w:type="dxa" w:w="100"/>
            </w:tcMar>
          </w:tcPr>
          <w:p>
            <w:r>
              <w:rPr>
                <w:sz w:val="18"/>
                <w:szCs w:val="18"/>
              </w:rPr>
              <w:t xml:space="preserve">Yes</w:t>
            </w:r>
          </w:p>
        </w:tc>
        <w:tc>
          <w:tcPr>
            <w:tcW w:type="dxa" w:w="2200"/>
            <w:shd w:fill="FFFFFF" w:val="clear"/>
            <w:tcMar>
              <w:top w:type="dxa" w:w="70"/>
              <w:left w:type="dxa" w:w="100"/>
              <w:bottom w:type="dxa" w:w="70"/>
              <w:right w:type="dxa" w:w="100"/>
            </w:tcMar>
          </w:tcPr>
          <w:p>
            <w:r>
              <w:rPr>
                <w:sz w:val="18"/>
                <w:szCs w:val="18"/>
              </w:rPr>
              <w:t xml:space="preserve">No</w:t>
            </w:r>
          </w:p>
        </w:tc>
        <w:tc>
          <w:tcPr>
            <w:tcW w:type="dxa" w:w="3360"/>
            <w:shd w:fill="FFFFFF" w:val="clear"/>
            <w:tcMar>
              <w:top w:type="dxa" w:w="70"/>
              <w:left w:type="dxa" w:w="100"/>
              <w:bottom w:type="dxa" w:w="70"/>
              <w:right w:type="dxa" w:w="100"/>
            </w:tcMar>
          </w:tcPr>
          <w:p>
            <w:r>
              <w:rPr>
                <w:sz w:val="18"/>
                <w:szCs w:val="18"/>
              </w:rPr>
              <w:t xml:space="preserve">Floor. Everything must beat this.</w:t>
            </w:r>
          </w:p>
        </w:tc>
      </w:tr>
      <w:tr>
        <w:tc>
          <w:tcPr>
            <w:tcW w:type="dxa" w:w="1900"/>
            <w:shd w:fill="F7F9FC" w:val="clear"/>
            <w:tcMar>
              <w:top w:type="dxa" w:w="70"/>
              <w:left w:type="dxa" w:w="100"/>
              <w:bottom w:type="dxa" w:w="70"/>
              <w:right w:type="dxa" w:w="100"/>
            </w:tcMar>
          </w:tcPr>
          <w:p>
            <w:r>
              <w:rPr>
                <w:sz w:val="18"/>
                <w:szCs w:val="18"/>
              </w:rPr>
              <w:t xml:space="preserve">GLM-B</w:t>
            </w:r>
          </w:p>
        </w:tc>
        <w:tc>
          <w:tcPr>
            <w:tcW w:type="dxa" w:w="1900"/>
            <w:shd w:fill="F7F9FC" w:val="clear"/>
            <w:tcMar>
              <w:top w:type="dxa" w:w="70"/>
              <w:left w:type="dxa" w:w="100"/>
              <w:bottom w:type="dxa" w:w="70"/>
              <w:right w:type="dxa" w:w="100"/>
            </w:tcMar>
          </w:tcPr>
          <w:p>
            <w:r>
              <w:rPr>
                <w:sz w:val="18"/>
                <w:szCs w:val="18"/>
              </w:rPr>
              <w:t xml:space="preserve">Yes</w:t>
            </w:r>
          </w:p>
        </w:tc>
        <w:tc>
          <w:tcPr>
            <w:tcW w:type="dxa" w:w="2200"/>
            <w:shd w:fill="F7F9FC" w:val="clear"/>
            <w:tcMar>
              <w:top w:type="dxa" w:w="70"/>
              <w:left w:type="dxa" w:w="100"/>
              <w:bottom w:type="dxa" w:w="70"/>
              <w:right w:type="dxa" w:w="100"/>
            </w:tcMar>
          </w:tcPr>
          <w:p>
            <w:r>
              <w:rPr>
                <w:sz w:val="18"/>
                <w:szCs w:val="18"/>
              </w:rPr>
              <w:t xml:space="preserve">Hand-picked</w:t>
            </w:r>
          </w:p>
        </w:tc>
        <w:tc>
          <w:tcPr>
            <w:tcW w:type="dxa" w:w="3360"/>
            <w:shd w:fill="F7F9FC" w:val="clear"/>
            <w:tcMar>
              <w:top w:type="dxa" w:w="70"/>
              <w:left w:type="dxa" w:w="100"/>
              <w:bottom w:type="dxa" w:w="70"/>
              <w:right w:type="dxa" w:w="100"/>
            </w:tcMar>
          </w:tcPr>
          <w:p>
            <w:r>
              <w:rPr>
                <w:sz w:val="18"/>
                <w:szCs w:val="18"/>
              </w:rPr>
              <w:t xml:space="preserve">The paper's benchmark: engineered features in a log-linear model.</w:t>
            </w:r>
          </w:p>
        </w:tc>
      </w:tr>
      <w:tr>
        <w:tc>
          <w:tcPr>
            <w:tcW w:type="dxa" w:w="1900"/>
            <w:shd w:fill="FFFFFF" w:val="clear"/>
            <w:tcMar>
              <w:top w:type="dxa" w:w="70"/>
              <w:left w:type="dxa" w:w="100"/>
              <w:bottom w:type="dxa" w:w="70"/>
              <w:right w:type="dxa" w:w="100"/>
            </w:tcMar>
          </w:tcPr>
          <w:p>
            <w:r>
              <w:rPr>
                <w:sz w:val="18"/>
                <w:szCs w:val="18"/>
              </w:rPr>
              <w:t xml:space="preserve">CANN-Poisson</w:t>
            </w:r>
          </w:p>
        </w:tc>
        <w:tc>
          <w:tcPr>
            <w:tcW w:type="dxa" w:w="1900"/>
            <w:shd w:fill="FFFFFF" w:val="clear"/>
            <w:tcMar>
              <w:top w:type="dxa" w:w="70"/>
              <w:left w:type="dxa" w:w="100"/>
              <w:bottom w:type="dxa" w:w="70"/>
              <w:right w:type="dxa" w:w="100"/>
            </w:tcMar>
          </w:tcPr>
          <w:p>
            <w:r>
              <w:rPr>
                <w:sz w:val="18"/>
                <w:szCs w:val="18"/>
              </w:rPr>
              <w:t xml:space="preserve">Log-linear part</w:t>
            </w:r>
          </w:p>
        </w:tc>
        <w:tc>
          <w:tcPr>
            <w:tcW w:type="dxa" w:w="2200"/>
            <w:shd w:fill="FFFFFF" w:val="clear"/>
            <w:tcMar>
              <w:top w:type="dxa" w:w="70"/>
              <w:left w:type="dxa" w:w="100"/>
              <w:bottom w:type="dxa" w:w="70"/>
              <w:right w:type="dxa" w:w="100"/>
            </w:tcMar>
          </w:tcPr>
          <w:p>
            <w:r>
              <w:rPr>
                <w:sz w:val="18"/>
                <w:szCs w:val="18"/>
              </w:rPr>
              <w:t xml:space="preserve">All, via MLP</w:t>
            </w:r>
          </w:p>
        </w:tc>
        <w:tc>
          <w:tcPr>
            <w:tcW w:type="dxa" w:w="3360"/>
            <w:shd w:fill="FFFFFF" w:val="clear"/>
            <w:tcMar>
              <w:top w:type="dxa" w:w="70"/>
              <w:left w:type="dxa" w:w="100"/>
              <w:bottom w:type="dxa" w:w="70"/>
              <w:right w:type="dxa" w:w="100"/>
            </w:tcMar>
          </w:tcPr>
          <w:p>
            <w:r>
              <w:rPr>
                <w:sz w:val="18"/>
                <w:szCs w:val="18"/>
              </w:rPr>
              <w:t xml:space="preserve">Learned representation, equidispersed.</w:t>
            </w:r>
          </w:p>
        </w:tc>
      </w:tr>
      <w:tr>
        <w:tc>
          <w:tcPr>
            <w:tcW w:type="dxa" w:w="1900"/>
            <w:shd w:fill="F7F9FC" w:val="clear"/>
            <w:tcMar>
              <w:top w:type="dxa" w:w="70"/>
              <w:left w:type="dxa" w:w="100"/>
              <w:bottom w:type="dxa" w:w="70"/>
              <w:right w:type="dxa" w:w="100"/>
            </w:tcMar>
          </w:tcPr>
          <w:p>
            <w:r>
              <w:rPr>
                <w:sz w:val="18"/>
                <w:szCs w:val="18"/>
              </w:rPr>
              <w:t xml:space="preserve">CANN-NB</w:t>
            </w:r>
          </w:p>
        </w:tc>
        <w:tc>
          <w:tcPr>
            <w:tcW w:type="dxa" w:w="1900"/>
            <w:shd w:fill="F7F9FC" w:val="clear"/>
            <w:tcMar>
              <w:top w:type="dxa" w:w="70"/>
              <w:left w:type="dxa" w:w="100"/>
              <w:bottom w:type="dxa" w:w="70"/>
              <w:right w:type="dxa" w:w="100"/>
            </w:tcMar>
          </w:tcPr>
          <w:p>
            <w:r>
              <w:rPr>
                <w:sz w:val="18"/>
                <w:szCs w:val="18"/>
              </w:rPr>
              <w:t xml:space="preserve">Log-linear part</w:t>
            </w:r>
          </w:p>
        </w:tc>
        <w:tc>
          <w:tcPr>
            <w:tcW w:type="dxa" w:w="2200"/>
            <w:shd w:fill="F7F9FC" w:val="clear"/>
            <w:tcMar>
              <w:top w:type="dxa" w:w="70"/>
              <w:left w:type="dxa" w:w="100"/>
              <w:bottom w:type="dxa" w:w="70"/>
              <w:right w:type="dxa" w:w="100"/>
            </w:tcMar>
          </w:tcPr>
          <w:p>
            <w:r>
              <w:rPr>
                <w:sz w:val="18"/>
                <w:szCs w:val="18"/>
              </w:rPr>
              <w:t xml:space="preserve">All, via MLP</w:t>
            </w:r>
          </w:p>
        </w:tc>
        <w:tc>
          <w:tcPr>
            <w:tcW w:type="dxa" w:w="3360"/>
            <w:shd w:fill="F7F9FC" w:val="clear"/>
            <w:tcMar>
              <w:top w:type="dxa" w:w="70"/>
              <w:left w:type="dxa" w:w="100"/>
              <w:bottom w:type="dxa" w:w="70"/>
              <w:right w:type="dxa" w:w="100"/>
            </w:tcMar>
          </w:tcPr>
          <w:p>
            <w:r>
              <w:rPr>
                <w:sz w:val="18"/>
                <w:szCs w:val="18"/>
              </w:rPr>
              <w:t xml:space="preserve">Learned representation, overdispersion modelled.</w:t>
            </w:r>
          </w:p>
        </w:tc>
      </w:tr>
    </w:tbl>
    <w:p>
      <w:pPr>
        <w:pStyle w:val="Heading1"/>
        <w:spacing w:after="160" w:before="360"/>
      </w:pPr>
      <w:r>
        <w:t xml:space="preserve">6. Phase 4 — Benchmark GLMs</w:t>
      </w:r>
    </w:p>
    <w:p>
      <w:pPr>
        <w:spacing w:after="120"/>
      </w:pPr>
      <w:r>
        <w:t xml:space="preserve">Fit Poisson and NB versions of GLM-A and GLM-B with log(exposure) as offset. For each, record: AIC, training and test negative log-likelihood, Pearson dispersion, and — for NB — α̂.</w:t>
      </w:r>
    </w:p>
    <w:p>
      <w:pPr>
        <w:shd w:fill="F2F4F7" w:val="clear"/>
        <w:spacing w:after="0" w:before="80"/>
      </w:pPr>
      <w:r>
        <w:rPr>
          <w:rFonts w:ascii="Consolas" w:cs="Consolas" w:eastAsia="Consolas" w:hAnsi="Consolas"/>
          <w:sz w:val="17"/>
          <w:szCs w:val="17"/>
        </w:rPr>
        <w:t xml:space="preserve"># --- R</w:t>
      </w:r>
    </w:p>
    <w:p>
      <w:pPr>
        <w:shd w:fill="F2F4F7" w:val="clear"/>
        <w:spacing w:after="0" w:before="0"/>
      </w:pPr>
      <w:r>
        <w:rPr>
          <w:rFonts w:ascii="Consolas" w:cs="Consolas" w:eastAsia="Consolas" w:hAnsi="Consolas"/>
          <w:sz w:val="17"/>
          <w:szCs w:val="17"/>
        </w:rPr>
        <w:t xml:space="preserve">m_pois &lt;- glm(NB_Claim ~ . + offset(log(expo)), data = tr, family = poisson)</w:t>
      </w:r>
    </w:p>
    <w:p>
      <w:pPr>
        <w:shd w:fill="F2F4F7" w:val="clear"/>
        <w:spacing w:after="0" w:before="0"/>
      </w:pPr>
      <w:r>
        <w:rPr>
          <w:rFonts w:ascii="Consolas" w:cs="Consolas" w:eastAsia="Consolas" w:hAnsi="Consolas"/>
          <w:sz w:val="17"/>
          <w:szCs w:val="17"/>
        </w:rPr>
        <w:t xml:space="preserve">m_nb   &lt;- MASS::glm.nb(NB_Claim ~ . + offset(log(expo)), data = tr)</w:t>
      </w:r>
    </w:p>
    <w:p>
      <w:pPr>
        <w:shd w:fill="F2F4F7" w:val="clear"/>
        <w:spacing w:after="0" w:before="0"/>
      </w:pPr>
      <w:r>
        <w:rPr>
          <w:rFonts w:ascii="Consolas" w:cs="Consolas" w:eastAsia="Consolas" w:hAnsi="Consolas"/>
          <w:sz w:val="17"/>
          <w:szCs w:val="17"/>
        </w:rPr>
        <w:t xml:space="preserve">phi &lt;- sum(residuals(m_pois, type='pearson')^2) / df.residual(m_pois)</w:t>
      </w:r>
    </w:p>
    <w:p>
      <w:pPr>
        <w:shd w:fill="F2F4F7" w:val="clear"/>
        <w:spacing w:after="0" w:before="0"/>
      </w:pPr>
      <w:r>
        <w:rPr>
          <w:rFonts w:ascii="Consolas" w:cs="Consolas" w:eastAsia="Consolas" w:hAnsi="Consolas"/>
          <w:sz w:val="17"/>
          <w:szCs w:val="17"/>
        </w:rPr>
        <w:t xml:space="preserve"> </w:t>
      </w:r>
    </w:p>
    <w:p>
      <w:pPr>
        <w:shd w:fill="F2F4F7" w:val="clear"/>
        <w:spacing w:after="0" w:before="0"/>
      </w:pPr>
      <w:r>
        <w:rPr>
          <w:rFonts w:ascii="Consolas" w:cs="Consolas" w:eastAsia="Consolas" w:hAnsi="Consolas"/>
          <w:sz w:val="17"/>
          <w:szCs w:val="17"/>
        </w:rPr>
        <w:t xml:space="preserve"># --- Python</w:t>
      </w:r>
    </w:p>
    <w:p>
      <w:pPr>
        <w:shd w:fill="F2F4F7" w:val="clear"/>
        <w:spacing w:after="0" w:before="0"/>
      </w:pPr>
      <w:r>
        <w:rPr>
          <w:rFonts w:ascii="Consolas" w:cs="Consolas" w:eastAsia="Consolas" w:hAnsi="Consolas"/>
          <w:sz w:val="17"/>
          <w:szCs w:val="17"/>
        </w:rPr>
        <w:t xml:space="preserve">import statsmodels.api as sm</w:t>
      </w:r>
    </w:p>
    <w:p>
      <w:pPr>
        <w:shd w:fill="F2F4F7" w:val="clear"/>
        <w:spacing w:after="0" w:before="0"/>
      </w:pPr>
      <w:r>
        <w:rPr>
          <w:rFonts w:ascii="Consolas" w:cs="Consolas" w:eastAsia="Consolas" w:hAnsi="Consolas"/>
          <w:sz w:val="17"/>
          <w:szCs w:val="17"/>
        </w:rPr>
        <w:t xml:space="preserve">pois = sm.GLM(y, X, family=sm.families.Poisson(), offset=np.log(expo)).fit()</w:t>
      </w:r>
    </w:p>
    <w:p>
      <w:pPr>
        <w:shd w:fill="F2F4F7" w:val="clear"/>
        <w:spacing w:after="0" w:before="0"/>
      </w:pPr>
      <w:r>
        <w:rPr>
          <w:rFonts w:ascii="Consolas" w:cs="Consolas" w:eastAsia="Consolas" w:hAnsi="Consolas"/>
          <w:sz w:val="17"/>
          <w:szCs w:val="17"/>
        </w:rPr>
        <w:t xml:space="preserve">nb   = sm.GLM(y, X, family=sm.families.NegativeBinomial(alpha=a),</w:t>
      </w:r>
    </w:p>
    <w:p>
      <w:pPr>
        <w:shd w:fill="F2F4F7" w:val="clear"/>
        <w:spacing w:after="140" w:before="0"/>
      </w:pPr>
      <w:r>
        <w:rPr>
          <w:rFonts w:ascii="Consolas" w:cs="Consolas" w:eastAsia="Consolas" w:hAnsi="Consolas"/>
          <w:sz w:val="17"/>
          <w:szCs w:val="17"/>
        </w:rPr>
        <w:t xml:space="preserve">              offset=np.log(expo)).fit()   # profile 'a' over a grid, keep best llf</w:t>
      </w:r>
    </w:p>
    <w:p>
      <w:pPr>
        <w:spacing w:after="120"/>
      </w:pPr>
      <w:r>
        <w:t xml:space="preserve">Inspect the coefficient table sorted by |z|. You should be able to tell an underwriting story: age effect, car-use effect, and — if telematics carry signal — rush-hour or mileage effects. Note which telematics coefficients are significant; these become your reference point for the permutation importance you will compute on the CANN.</w:t>
      </w:r>
    </w:p>
    <w:p>
      <w:pPr>
        <w:pStyle w:val="Heading1"/>
        <w:spacing w:after="160" w:before="360"/>
      </w:pPr>
      <w:r>
        <w:t xml:space="preserve">7. Phase 5 — The CANN</w:t>
      </w:r>
    </w:p>
    <w:p>
      <w:pPr>
        <w:pStyle w:val="Heading2"/>
        <w:spacing w:after="120" w:before="280"/>
      </w:pPr>
      <w:r>
        <w:t xml:space="preserve">7.1 Architecture</w:t>
      </w:r>
    </w:p>
    <w:p>
      <w:pPr>
        <w:spacing w:after="120"/>
      </w:pPr>
      <w:r>
        <w:t xml:space="preserve">The CANN blends a classical regression with a network by adding their linear predictors before the link:</w:t>
      </w:r>
    </w:p>
    <w:p>
      <w:pPr>
        <w:shd w:fill="F2F4F7" w:val="clear"/>
        <w:spacing w:after="0" w:before="80"/>
      </w:pPr>
      <w:r>
        <w:rPr>
          <w:rFonts w:ascii="Consolas" w:cs="Consolas" w:eastAsia="Consolas" w:hAnsi="Consolas"/>
          <w:sz w:val="17"/>
          <w:szCs w:val="17"/>
        </w:rPr>
        <w:t xml:space="preserve">log( mu_i ) = log(exposure_i)                    &lt;- offset</w:t>
      </w:r>
    </w:p>
    <w:p>
      <w:pPr>
        <w:shd w:fill="F2F4F7" w:val="clear"/>
        <w:spacing w:after="0" w:before="0"/>
      </w:pPr>
      <w:r>
        <w:rPr>
          <w:rFonts w:ascii="Consolas" w:cs="Consolas" w:eastAsia="Consolas" w:hAnsi="Consolas"/>
          <w:sz w:val="17"/>
          <w:szCs w:val="17"/>
        </w:rPr>
        <w:t xml:space="preserve">            + x_i^trad . beta                    &lt;- log-linear (actuarial) part</w:t>
      </w:r>
    </w:p>
    <w:p>
      <w:pPr>
        <w:shd w:fill="F2F4F7" w:val="clear"/>
        <w:spacing w:after="140" w:before="0"/>
      </w:pPr>
      <w:r>
        <w:rPr>
          <w:rFonts w:ascii="Consolas" w:cs="Consolas" w:eastAsia="Consolas" w:hAnsi="Consolas"/>
          <w:sz w:val="17"/>
          <w:szCs w:val="17"/>
        </w:rPr>
        <w:t xml:space="preserve">            + MLP( x_i^trad , x_i^tele )         &lt;- network (boosting) part</w:t>
      </w:r>
    </w:p>
    <w:p>
      <w:pPr>
        <w:spacing w:after="120"/>
      </w:pPr>
      <w:r>
        <w:t xml:space="preserve">Two design decisions carry the whole idea and must not be skipped:</w:t>
      </w:r>
    </w:p>
    <w:p>
      <w:pPr>
        <w:pStyle w:val="ListParagraph"/>
        <w:numPr>
          <w:ilvl w:val="0"/>
          <w:numId w:val="3"/>
        </w:numPr>
        <w:spacing w:after="60"/>
      </w:pPr>
      <w:r>
        <w:t xml:space="preserve">The log-linear part receives ONLY traditional risk factors. It is deliberately constrained — it provides the stable, interpretable backbone.</w:t>
      </w:r>
    </w:p>
    <w:p>
      <w:pPr>
        <w:pStyle w:val="ListParagraph"/>
        <w:numPr>
          <w:ilvl w:val="0"/>
          <w:numId w:val="3"/>
        </w:numPr>
        <w:spacing w:after="60"/>
      </w:pPr>
      <w:r>
        <w:t xml:space="preserve">The MLP receives traditional AND telematics inputs, so it can learn interactions BETWEEN them, not just telematics effects in isolation. This is exactly what the paper argues a manually engineered feature set cannot do.</w:t>
      </w:r>
    </w:p>
    <w:p>
      <w:pPr>
        <w:pStyle w:val="Heading2"/>
        <w:spacing w:after="120" w:before="280"/>
      </w:pPr>
      <w:r>
        <w:t xml:space="preserve">7.2 The warm start — what makes it a CANN and not just a network</w:t>
      </w:r>
    </w:p>
    <w:p>
      <w:pPr>
        <w:spacing w:after="120"/>
      </w:pPr>
      <w:r>
        <w:t xml:space="preserve">Initialise β at the fitted Poisson GLM coefficients, and initialise the MLP's output layer weights and bias at ZERO. At epoch zero the CANN is then numerically identical to the GLM, and gradient descent can only move away from it in directions that improve the likelihood. This is the "neural network boosting of the actuarial model" interpretation, and it is why the CANN inherits the GLM's stability instead of starting from noise.</w:t>
      </w:r>
    </w:p>
    <w:p>
      <w:pPr>
        <w:shd w:fill="F2F4F7" w:val="clear"/>
        <w:spacing w:after="0" w:before="80"/>
      </w:pPr>
      <w:r>
        <w:rPr>
          <w:rFonts w:ascii="Consolas" w:cs="Consolas" w:eastAsia="Consolas" w:hAnsi="Consolas"/>
          <w:sz w:val="17"/>
          <w:szCs w:val="17"/>
        </w:rPr>
        <w:t xml:space="preserve">with torch.no_grad():</w:t>
      </w:r>
    </w:p>
    <w:p>
      <w:pPr>
        <w:shd w:fill="F2F4F7" w:val="clear"/>
        <w:spacing w:after="0" w:before="0"/>
      </w:pPr>
      <w:r>
        <w:rPr>
          <w:rFonts w:ascii="Consolas" w:cs="Consolas" w:eastAsia="Consolas" w:hAnsi="Consolas"/>
          <w:sz w:val="17"/>
          <w:szCs w:val="17"/>
        </w:rPr>
        <w:t xml:space="preserve">    self.lin.weight.copy_(torch.tensor(beta_glm[1:]).view(1,-1))</w:t>
      </w:r>
    </w:p>
    <w:p>
      <w:pPr>
        <w:shd w:fill="F2F4F7" w:val="clear"/>
        <w:spacing w:after="0" w:before="0"/>
      </w:pPr>
      <w:r>
        <w:rPr>
          <w:rFonts w:ascii="Consolas" w:cs="Consolas" w:eastAsia="Consolas" w:hAnsi="Consolas"/>
          <w:sz w:val="17"/>
          <w:szCs w:val="17"/>
        </w:rPr>
        <w:t xml:space="preserve">    self.lin.bias.copy_(torch.tensor(beta_glm[:1]))</w:t>
      </w:r>
    </w:p>
    <w:p>
      <w:pPr>
        <w:shd w:fill="F2F4F7" w:val="clear"/>
        <w:spacing w:after="140" w:before="0"/>
      </w:pPr>
      <w:r>
        <w:rPr>
          <w:rFonts w:ascii="Consolas" w:cs="Consolas" w:eastAsia="Consolas" w:hAnsi="Consolas"/>
          <w:sz w:val="17"/>
          <w:szCs w:val="17"/>
        </w:rPr>
        <w:t xml:space="preserve">nn.init.zeros_(out.weight); nn.init.zeros_(out.bias)   # CANN == GLM at epoch 0</w:t>
      </w:r>
    </w:p>
    <w:p>
      <w:pPr>
        <w:pStyle w:val="Heading2"/>
        <w:spacing w:after="120" w:before="280"/>
      </w:pPr>
      <w:r>
        <w:t xml:space="preserve">7.3 The loss functions</w:t>
      </w:r>
    </w:p>
    <w:p>
      <w:pPr>
        <w:spacing w:after="120"/>
      </w:pPr>
      <w:r>
        <w:t xml:space="preserve">The model is trained by minimising the negative log-likelihood of the assumed count distribution — not MSE. The network outputs μ; the distribution supplies the loss.</w:t>
      </w:r>
    </w:p>
    <w:p>
      <w:pPr>
        <w:shd w:fill="F2F4F7" w:val="clear"/>
        <w:spacing w:after="0" w:before="80"/>
      </w:pPr>
      <w:r>
        <w:rPr>
          <w:rFonts w:ascii="Consolas" w:cs="Consolas" w:eastAsia="Consolas" w:hAnsi="Consolas"/>
          <w:sz w:val="17"/>
          <w:szCs w:val="17"/>
        </w:rPr>
        <w:t xml:space="preserve"># Poisson NLL (constants dropped)</w:t>
      </w:r>
    </w:p>
    <w:p>
      <w:pPr>
        <w:shd w:fill="F2F4F7" w:val="clear"/>
        <w:spacing w:after="0" w:before="0"/>
      </w:pPr>
      <w:r>
        <w:rPr>
          <w:rFonts w:ascii="Consolas" w:cs="Consolas" w:eastAsia="Consolas" w:hAnsi="Consolas"/>
          <w:sz w:val="17"/>
          <w:szCs w:val="17"/>
        </w:rPr>
        <w:t xml:space="preserve">loss = ( mu - y * log(mu) ).mean()</w:t>
      </w:r>
    </w:p>
    <w:p>
      <w:pPr>
        <w:shd w:fill="F2F4F7" w:val="clear"/>
        <w:spacing w:after="0" w:before="0"/>
      </w:pPr>
      <w:r>
        <w:rPr>
          <w:rFonts w:ascii="Consolas" w:cs="Consolas" w:eastAsia="Consolas" w:hAnsi="Consolas"/>
          <w:sz w:val="17"/>
          <w:szCs w:val="17"/>
        </w:rPr>
        <w:t xml:space="preserve"> </w:t>
      </w:r>
    </w:p>
    <w:p>
      <w:pPr>
        <w:shd w:fill="F2F4F7" w:val="clear"/>
        <w:spacing w:after="0" w:before="0"/>
      </w:pPr>
      <w:r>
        <w:rPr>
          <w:rFonts w:ascii="Consolas" w:cs="Consolas" w:eastAsia="Consolas" w:hAnsi="Consolas"/>
          <w:sz w:val="17"/>
          <w:szCs w:val="17"/>
        </w:rPr>
        <w:t xml:space="preserve"># Negative Binomial NLL, r = 1/alpha</w:t>
      </w:r>
    </w:p>
    <w:p>
      <w:pPr>
        <w:shd w:fill="F2F4F7" w:val="clear"/>
        <w:spacing w:after="0" w:before="0"/>
      </w:pPr>
      <w:r>
        <w:rPr>
          <w:rFonts w:ascii="Consolas" w:cs="Consolas" w:eastAsia="Consolas" w:hAnsi="Consolas"/>
          <w:sz w:val="17"/>
          <w:szCs w:val="17"/>
        </w:rPr>
        <w:t xml:space="preserve">loss = -( lgamma(y+r) - lgamma(r) - lgamma(y+1)</w:t>
      </w:r>
    </w:p>
    <w:p>
      <w:pPr>
        <w:shd w:fill="F2F4F7" w:val="clear"/>
        <w:spacing w:after="140" w:before="0"/>
      </w:pPr>
      <w:r>
        <w:rPr>
          <w:rFonts w:ascii="Consolas" w:cs="Consolas" w:eastAsia="Consolas" w:hAnsi="Consolas"/>
          <w:sz w:val="17"/>
          <w:szCs w:val="17"/>
        </w:rPr>
        <w:t xml:space="preserve">          + r*log(r/(r+mu)) + y*log(mu/(r+mu))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8" w:val="clear"/>
            <w:tcMar>
              <w:top w:type="dxa" w:w="120"/>
              <w:left w:type="dxa" w:w="160"/>
              <w:bottom w:type="dxa" w:w="120"/>
              <w:right w:type="dxa" w:w="160"/>
            </w:tcMar>
          </w:tcPr>
          <w:p>
            <w:pPr>
              <w:spacing w:after="60"/>
            </w:pPr>
            <w:r>
              <w:rPr>
                <w:b/>
                <w:bCs/>
                <w:color w:val="1F4E79"/>
                <w:sz w:val="20"/>
                <w:szCs w:val="20"/>
              </w:rPr>
              <w:t xml:space="preserve">How the NB dispersion parameter is estimated inside the network</w:t>
            </w:r>
          </w:p>
          <w:p>
            <w:pPr>
              <w:spacing w:after="60"/>
            </w:pPr>
            <w:r>
              <w:rPr>
                <w:sz w:val="20"/>
                <w:szCs w:val="20"/>
              </w:rPr>
              <w:t xml:space="preserve">r is NOT an output of the forward pass. It is a single global trainable scalar, declared as a parameter of the module and optimised by the same Adam step as every weight. Parameterise it on the log scale (log_r) so that r = exp(log_r) is automatically positive and unconstrained gradient descent stays valid.</w:t>
            </w:r>
          </w:p>
          <w:p>
            <w:pPr>
              <w:spacing w:after="60"/>
            </w:pPr>
            <w:r>
              <w:rPr>
                <w:sz w:val="20"/>
                <w:szCs w:val="20"/>
              </w:rPr>
              <w:t xml:space="preserve">self.log_r = nn.Parameter(torch.tensor(0.0))     then     r = torch.exp(self.log_r)</w:t>
            </w:r>
          </w:p>
        </w:tc>
      </w:tr>
    </w:tbl>
    <w:p>
      <w:pPr>
        <w:pStyle w:val="Heading2"/>
        <w:spacing w:after="120" w:before="280"/>
      </w:pPr>
      <w:r>
        <w:t xml:space="preserve">7.4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460"/>
      </w:tblGrid>
      <w:tr>
        <w:trPr>
          <w:tblHeader/>
        </w:trPr>
        <w:tc>
          <w:tcPr>
            <w:tcW w:type="dxa" w:w="2300"/>
            <w:shd w:fill="1F4E79" w:val="clear"/>
            <w:tcMar>
              <w:top w:type="dxa" w:w="80"/>
              <w:left w:type="dxa" w:w="100"/>
              <w:bottom w:type="dxa" w:w="80"/>
              <w:right w:type="dxa" w:w="100"/>
            </w:tcMar>
          </w:tcPr>
          <w:p>
            <w:r>
              <w:rPr>
                <w:b/>
                <w:bCs/>
                <w:color w:val="FFFFFF"/>
                <w:sz w:val="18"/>
                <w:szCs w:val="18"/>
              </w:rPr>
              <w:t xml:space="preserve">Setting</w:t>
            </w:r>
          </w:p>
        </w:tc>
        <w:tc>
          <w:tcPr>
            <w:tcW w:type="dxa" w:w="2600"/>
            <w:shd w:fill="1F4E79" w:val="clear"/>
            <w:tcMar>
              <w:top w:type="dxa" w:w="80"/>
              <w:left w:type="dxa" w:w="100"/>
              <w:bottom w:type="dxa" w:w="80"/>
              <w:right w:type="dxa" w:w="100"/>
            </w:tcMar>
          </w:tcPr>
          <w:p>
            <w:r>
              <w:rPr>
                <w:b/>
                <w:bCs/>
                <w:color w:val="FFFFFF"/>
                <w:sz w:val="18"/>
                <w:szCs w:val="18"/>
              </w:rPr>
              <w:t xml:space="preserve">Suggested value</w:t>
            </w:r>
          </w:p>
        </w:tc>
        <w:tc>
          <w:tcPr>
            <w:tcW w:type="dxa" w:w="4460"/>
            <w:shd w:fill="1F4E79" w:val="clear"/>
            <w:tcMar>
              <w:top w:type="dxa" w:w="80"/>
              <w:left w:type="dxa" w:w="100"/>
              <w:bottom w:type="dxa" w:w="80"/>
              <w:right w:type="dxa" w:w="100"/>
            </w:tcMar>
          </w:tcPr>
          <w:p>
            <w:r>
              <w:rPr>
                <w:b/>
                <w:bCs/>
                <w:color w:val="FFFFFF"/>
                <w:sz w:val="18"/>
                <w:szCs w:val="18"/>
              </w:rPr>
              <w:t xml:space="preserve">Why</w:t>
            </w:r>
          </w:p>
        </w:tc>
      </w:tr>
      <w:tr>
        <w:tc>
          <w:tcPr>
            <w:tcW w:type="dxa" w:w="2300"/>
            <w:shd w:fill="FFFFFF" w:val="clear"/>
            <w:tcMar>
              <w:top w:type="dxa" w:w="70"/>
              <w:left w:type="dxa" w:w="100"/>
              <w:bottom w:type="dxa" w:w="70"/>
              <w:right w:type="dxa" w:w="100"/>
            </w:tcMar>
          </w:tcPr>
          <w:p>
            <w:r>
              <w:rPr>
                <w:sz w:val="18"/>
                <w:szCs w:val="18"/>
              </w:rPr>
              <w:t xml:space="preserve">Hidden layers</w:t>
            </w:r>
          </w:p>
        </w:tc>
        <w:tc>
          <w:tcPr>
            <w:tcW w:type="dxa" w:w="2600"/>
            <w:shd w:fill="FFFFFF" w:val="clear"/>
            <w:tcMar>
              <w:top w:type="dxa" w:w="70"/>
              <w:left w:type="dxa" w:w="100"/>
              <w:bottom w:type="dxa" w:w="70"/>
              <w:right w:type="dxa" w:w="100"/>
            </w:tcMar>
          </w:tcPr>
          <w:p>
            <w:r>
              <w:rPr>
                <w:sz w:val="18"/>
                <w:szCs w:val="18"/>
              </w:rPr>
              <w:t xml:space="preserve">(64, 32, 16)</w:t>
            </w:r>
          </w:p>
        </w:tc>
        <w:tc>
          <w:tcPr>
            <w:tcW w:type="dxa" w:w="4460"/>
            <w:shd w:fill="FFFFFF" w:val="clear"/>
            <w:tcMar>
              <w:top w:type="dxa" w:w="70"/>
              <w:left w:type="dxa" w:w="100"/>
              <w:bottom w:type="dxa" w:w="70"/>
              <w:right w:type="dxa" w:w="100"/>
            </w:tcMar>
          </w:tcPr>
          <w:p>
            <w:r>
              <w:rPr>
                <w:sz w:val="18"/>
                <w:szCs w:val="18"/>
              </w:rPr>
              <w:t xml:space="preserve">Enough capacity for interactions; small enough for ~100k rows</w:t>
            </w:r>
          </w:p>
        </w:tc>
      </w:tr>
      <w:tr>
        <w:tc>
          <w:tcPr>
            <w:tcW w:type="dxa" w:w="2300"/>
            <w:shd w:fill="F7F9FC" w:val="clear"/>
            <w:tcMar>
              <w:top w:type="dxa" w:w="70"/>
              <w:left w:type="dxa" w:w="100"/>
              <w:bottom w:type="dxa" w:w="70"/>
              <w:right w:type="dxa" w:w="100"/>
            </w:tcMar>
          </w:tcPr>
          <w:p>
            <w:r>
              <w:rPr>
                <w:sz w:val="18"/>
                <w:szCs w:val="18"/>
              </w:rPr>
              <w:t xml:space="preserve">Activation</w:t>
            </w:r>
          </w:p>
        </w:tc>
        <w:tc>
          <w:tcPr>
            <w:tcW w:type="dxa" w:w="2600"/>
            <w:shd w:fill="F7F9FC" w:val="clear"/>
            <w:tcMar>
              <w:top w:type="dxa" w:w="70"/>
              <w:left w:type="dxa" w:w="100"/>
              <w:bottom w:type="dxa" w:w="70"/>
              <w:right w:type="dxa" w:w="100"/>
            </w:tcMar>
          </w:tcPr>
          <w:p>
            <w:r>
              <w:rPr>
                <w:sz w:val="18"/>
                <w:szCs w:val="18"/>
              </w:rPr>
              <w:t xml:space="preserve">tanh</w:t>
            </w:r>
          </w:p>
        </w:tc>
        <w:tc>
          <w:tcPr>
            <w:tcW w:type="dxa" w:w="4460"/>
            <w:shd w:fill="F7F9FC" w:val="clear"/>
            <w:tcMar>
              <w:top w:type="dxa" w:w="70"/>
              <w:left w:type="dxa" w:w="100"/>
              <w:bottom w:type="dxa" w:w="70"/>
              <w:right w:type="dxa" w:w="100"/>
            </w:tcMar>
          </w:tcPr>
          <w:p>
            <w:r>
              <w:rPr>
                <w:sz w:val="18"/>
                <w:szCs w:val="18"/>
              </w:rPr>
              <w:t xml:space="preserve">The paper's family of models; smooth, well-behaved with standardised inputs</w:t>
            </w:r>
          </w:p>
        </w:tc>
      </w:tr>
      <w:tr>
        <w:tc>
          <w:tcPr>
            <w:tcW w:type="dxa" w:w="2300"/>
            <w:shd w:fill="FFFFFF" w:val="clear"/>
            <w:tcMar>
              <w:top w:type="dxa" w:w="70"/>
              <w:left w:type="dxa" w:w="100"/>
              <w:bottom w:type="dxa" w:w="70"/>
              <w:right w:type="dxa" w:w="100"/>
            </w:tcMar>
          </w:tcPr>
          <w:p>
            <w:r>
              <w:rPr>
                <w:sz w:val="18"/>
                <w:szCs w:val="18"/>
              </w:rPr>
              <w:t xml:space="preserve">Regularisation</w:t>
            </w:r>
          </w:p>
        </w:tc>
        <w:tc>
          <w:tcPr>
            <w:tcW w:type="dxa" w:w="2600"/>
            <w:shd w:fill="FFFFFF" w:val="clear"/>
            <w:tcMar>
              <w:top w:type="dxa" w:w="70"/>
              <w:left w:type="dxa" w:w="100"/>
              <w:bottom w:type="dxa" w:w="70"/>
              <w:right w:type="dxa" w:w="100"/>
            </w:tcMar>
          </w:tcPr>
          <w:p>
            <w:r>
              <w:rPr>
                <w:sz w:val="18"/>
                <w:szCs w:val="18"/>
              </w:rPr>
              <w:t xml:space="preserve">Dropout 0.1 + batch norm</w:t>
            </w:r>
          </w:p>
        </w:tc>
        <w:tc>
          <w:tcPr>
            <w:tcW w:type="dxa" w:w="4460"/>
            <w:shd w:fill="FFFFFF" w:val="clear"/>
            <w:tcMar>
              <w:top w:type="dxa" w:w="70"/>
              <w:left w:type="dxa" w:w="100"/>
              <w:bottom w:type="dxa" w:w="70"/>
              <w:right w:type="dxa" w:w="100"/>
            </w:tcMar>
          </w:tcPr>
          <w:p>
            <w:r>
              <w:rPr>
                <w:sz w:val="18"/>
                <w:szCs w:val="18"/>
              </w:rPr>
              <w:t xml:space="preserve">The response is rare; overfitting is the main risk</w:t>
            </w:r>
          </w:p>
        </w:tc>
      </w:tr>
      <w:tr>
        <w:tc>
          <w:tcPr>
            <w:tcW w:type="dxa" w:w="2300"/>
            <w:shd w:fill="F7F9FC" w:val="clear"/>
            <w:tcMar>
              <w:top w:type="dxa" w:w="70"/>
              <w:left w:type="dxa" w:w="100"/>
              <w:bottom w:type="dxa" w:w="70"/>
              <w:right w:type="dxa" w:w="100"/>
            </w:tcMar>
          </w:tcPr>
          <w:p>
            <w:r>
              <w:rPr>
                <w:sz w:val="18"/>
                <w:szCs w:val="18"/>
              </w:rPr>
              <w:t xml:space="preserve">Optimiser</w:t>
            </w:r>
          </w:p>
        </w:tc>
        <w:tc>
          <w:tcPr>
            <w:tcW w:type="dxa" w:w="2600"/>
            <w:shd w:fill="F7F9FC" w:val="clear"/>
            <w:tcMar>
              <w:top w:type="dxa" w:w="70"/>
              <w:left w:type="dxa" w:w="100"/>
              <w:bottom w:type="dxa" w:w="70"/>
              <w:right w:type="dxa" w:w="100"/>
            </w:tcMar>
          </w:tcPr>
          <w:p>
            <w:r>
              <w:rPr>
                <w:sz w:val="18"/>
                <w:szCs w:val="18"/>
              </w:rPr>
              <w:t xml:space="preserve">Adam, lr 1e-3</w:t>
            </w:r>
          </w:p>
        </w:tc>
        <w:tc>
          <w:tcPr>
            <w:tcW w:type="dxa" w:w="4460"/>
            <w:shd w:fill="F7F9FC" w:val="clear"/>
            <w:tcMar>
              <w:top w:type="dxa" w:w="70"/>
              <w:left w:type="dxa" w:w="100"/>
              <w:bottom w:type="dxa" w:w="70"/>
              <w:right w:type="dxa" w:w="100"/>
            </w:tcMar>
          </w:tcPr>
          <w:p>
            <w:r>
              <w:rPr>
                <w:sz w:val="18"/>
                <w:szCs w:val="18"/>
              </w:rPr>
              <w:t xml:space="preserve">Standard; reduce to 1e-4 if the loss oscillates</w:t>
            </w:r>
          </w:p>
        </w:tc>
      </w:tr>
      <w:tr>
        <w:tc>
          <w:tcPr>
            <w:tcW w:type="dxa" w:w="2300"/>
            <w:shd w:fill="FFFFFF" w:val="clear"/>
            <w:tcMar>
              <w:top w:type="dxa" w:w="70"/>
              <w:left w:type="dxa" w:w="100"/>
              <w:bottom w:type="dxa" w:w="70"/>
              <w:right w:type="dxa" w:w="100"/>
            </w:tcMar>
          </w:tcPr>
          <w:p>
            <w:r>
              <w:rPr>
                <w:sz w:val="18"/>
                <w:szCs w:val="18"/>
              </w:rPr>
              <w:t xml:space="preserve">Batch size</w:t>
            </w:r>
          </w:p>
        </w:tc>
        <w:tc>
          <w:tcPr>
            <w:tcW w:type="dxa" w:w="2600"/>
            <w:shd w:fill="FFFFFF" w:val="clear"/>
            <w:tcMar>
              <w:top w:type="dxa" w:w="70"/>
              <w:left w:type="dxa" w:w="100"/>
              <w:bottom w:type="dxa" w:w="70"/>
              <w:right w:type="dxa" w:w="100"/>
            </w:tcMar>
          </w:tcPr>
          <w:p>
            <w:r>
              <w:rPr>
                <w:sz w:val="18"/>
                <w:szCs w:val="18"/>
              </w:rPr>
              <w:t xml:space="preserve">1024</w:t>
            </w:r>
          </w:p>
        </w:tc>
        <w:tc>
          <w:tcPr>
            <w:tcW w:type="dxa" w:w="4460"/>
            <w:shd w:fill="FFFFFF" w:val="clear"/>
            <w:tcMar>
              <w:top w:type="dxa" w:w="70"/>
              <w:left w:type="dxa" w:w="100"/>
              <w:bottom w:type="dxa" w:w="70"/>
              <w:right w:type="dxa" w:w="100"/>
            </w:tcMar>
          </w:tcPr>
          <w:p>
            <w:r>
              <w:rPr>
                <w:sz w:val="18"/>
                <w:szCs w:val="18"/>
              </w:rPr>
              <w:t xml:space="preserve">Rare events need reasonably large batches for stable gradients</w:t>
            </w:r>
          </w:p>
        </w:tc>
      </w:tr>
      <w:tr>
        <w:tc>
          <w:tcPr>
            <w:tcW w:type="dxa" w:w="2300"/>
            <w:shd w:fill="F7F9FC" w:val="clear"/>
            <w:tcMar>
              <w:top w:type="dxa" w:w="70"/>
              <w:left w:type="dxa" w:w="100"/>
              <w:bottom w:type="dxa" w:w="70"/>
              <w:right w:type="dxa" w:w="100"/>
            </w:tcMar>
          </w:tcPr>
          <w:p>
            <w:r>
              <w:rPr>
                <w:sz w:val="18"/>
                <w:szCs w:val="18"/>
              </w:rPr>
              <w:t xml:space="preserve">Early stopping</w:t>
            </w:r>
          </w:p>
        </w:tc>
        <w:tc>
          <w:tcPr>
            <w:tcW w:type="dxa" w:w="2600"/>
            <w:shd w:fill="F7F9FC" w:val="clear"/>
            <w:tcMar>
              <w:top w:type="dxa" w:w="70"/>
              <w:left w:type="dxa" w:w="100"/>
              <w:bottom w:type="dxa" w:w="70"/>
              <w:right w:type="dxa" w:w="100"/>
            </w:tcMar>
          </w:tcPr>
          <w:p>
            <w:r>
              <w:rPr>
                <w:sz w:val="18"/>
                <w:szCs w:val="18"/>
              </w:rPr>
              <w:t xml:space="preserve">Patience 8 on validation NLL</w:t>
            </w:r>
          </w:p>
        </w:tc>
        <w:tc>
          <w:tcPr>
            <w:tcW w:type="dxa" w:w="4460"/>
            <w:shd w:fill="F7F9FC" w:val="clear"/>
            <w:tcMar>
              <w:top w:type="dxa" w:w="70"/>
              <w:left w:type="dxa" w:w="100"/>
              <w:bottom w:type="dxa" w:w="70"/>
              <w:right w:type="dxa" w:w="100"/>
            </w:tcMar>
          </w:tcPr>
          <w:p>
            <w:r>
              <w:rPr>
                <w:sz w:val="18"/>
                <w:szCs w:val="18"/>
              </w:rPr>
              <w:t xml:space="preserve">Non-negotiable — restore best weights, never use the final epoch</w:t>
            </w:r>
          </w:p>
        </w:tc>
      </w:tr>
      <w:tr>
        <w:tc>
          <w:tcPr>
            <w:tcW w:type="dxa" w:w="2300"/>
            <w:shd w:fill="FFFFFF" w:val="clear"/>
            <w:tcMar>
              <w:top w:type="dxa" w:w="70"/>
              <w:left w:type="dxa" w:w="100"/>
              <w:bottom w:type="dxa" w:w="70"/>
              <w:right w:type="dxa" w:w="100"/>
            </w:tcMar>
          </w:tcPr>
          <w:p>
            <w:r>
              <w:rPr>
                <w:sz w:val="18"/>
                <w:szCs w:val="18"/>
              </w:rPr>
              <w:t xml:space="preserve">Gradient clipping</w:t>
            </w:r>
          </w:p>
        </w:tc>
        <w:tc>
          <w:tcPr>
            <w:tcW w:type="dxa" w:w="2600"/>
            <w:shd w:fill="FFFFFF" w:val="clear"/>
            <w:tcMar>
              <w:top w:type="dxa" w:w="70"/>
              <w:left w:type="dxa" w:w="100"/>
              <w:bottom w:type="dxa" w:w="70"/>
              <w:right w:type="dxa" w:w="100"/>
            </w:tcMar>
          </w:tcPr>
          <w:p>
            <w:r>
              <w:rPr>
                <w:sz w:val="18"/>
                <w:szCs w:val="18"/>
              </w:rPr>
              <w:t xml:space="preserve">Norm 5.0</w:t>
            </w:r>
          </w:p>
        </w:tc>
        <w:tc>
          <w:tcPr>
            <w:tcW w:type="dxa" w:w="4460"/>
            <w:shd w:fill="FFFFFF" w:val="clear"/>
            <w:tcMar>
              <w:top w:type="dxa" w:w="70"/>
              <w:left w:type="dxa" w:w="100"/>
              <w:bottom w:type="dxa" w:w="70"/>
              <w:right w:type="dxa" w:w="100"/>
            </w:tcMar>
          </w:tcPr>
          <w:p>
            <w:r>
              <w:rPr>
                <w:sz w:val="18"/>
                <w:szCs w:val="18"/>
              </w:rPr>
              <w:t xml:space="preserve">Exponential link plus rare events can produce exploding gradients</w:t>
            </w:r>
          </w:p>
        </w:tc>
      </w:tr>
      <w:tr>
        <w:tc>
          <w:tcPr>
            <w:tcW w:type="dxa" w:w="2300"/>
            <w:shd w:fill="F7F9FC" w:val="clear"/>
            <w:tcMar>
              <w:top w:type="dxa" w:w="70"/>
              <w:left w:type="dxa" w:w="100"/>
              <w:bottom w:type="dxa" w:w="70"/>
              <w:right w:type="dxa" w:w="100"/>
            </w:tcMar>
          </w:tcPr>
          <w:p>
            <w:r>
              <w:rPr>
                <w:sz w:val="18"/>
                <w:szCs w:val="18"/>
              </w:rPr>
              <w:t xml:space="preserve">Output clamping</w:t>
            </w:r>
          </w:p>
        </w:tc>
        <w:tc>
          <w:tcPr>
            <w:tcW w:type="dxa" w:w="2600"/>
            <w:shd w:fill="F7F9FC" w:val="clear"/>
            <w:tcMar>
              <w:top w:type="dxa" w:w="70"/>
              <w:left w:type="dxa" w:w="100"/>
              <w:bottom w:type="dxa" w:w="70"/>
              <w:right w:type="dxa" w:w="100"/>
            </w:tcMar>
          </w:tcPr>
          <w:p>
            <w:r>
              <w:rPr>
                <w:sz w:val="18"/>
                <w:szCs w:val="18"/>
              </w:rPr>
              <w:t xml:space="preserve">clamp(eta, -12, 6) before exp</w:t>
            </w:r>
          </w:p>
        </w:tc>
        <w:tc>
          <w:tcPr>
            <w:tcW w:type="dxa" w:w="4460"/>
            <w:shd w:fill="F7F9FC" w:val="clear"/>
            <w:tcMar>
              <w:top w:type="dxa" w:w="70"/>
              <w:left w:type="dxa" w:w="100"/>
              <w:bottom w:type="dxa" w:w="70"/>
              <w:right w:type="dxa" w:w="100"/>
            </w:tcMar>
          </w:tcPr>
          <w:p>
            <w:r>
              <w:rPr>
                <w:sz w:val="18"/>
                <w:szCs w:val="18"/>
              </w:rPr>
              <w:t xml:space="preserve">Prevents numerical overflow in the first epochs</w:t>
            </w:r>
          </w:p>
        </w:tc>
      </w:tr>
    </w:tbl>
    <w:p>
      <w:pPr>
        <w:pStyle w:val="Heading2"/>
        <w:spacing w:after="120" w:before="280"/>
      </w:pPr>
      <w:r>
        <w:t xml:space="preserve">7.5 Seeds and stability</w:t>
      </w:r>
    </w:p>
    <w:p>
      <w:pPr>
        <w:spacing w:after="120"/>
      </w:pPr>
      <w:r>
        <w:t xml:space="preserve">Train each specification under at least 5 random seeds and report mean ± sd of the test NLL. A single-seed improvement over the GLM is not evidence. This also gives you an honest answer to the interpretability-versus-stability objection that internal actuarial reviewers will raise.</w:t>
      </w:r>
    </w:p>
    <w:p>
      <w:pPr>
        <w:pStyle w:val="Heading1"/>
        <w:spacing w:after="160" w:before="360"/>
      </w:pPr>
      <w:r>
        <w:t xml:space="preserve">8. Phase 6 — Evaluation protocol</w:t>
      </w:r>
    </w:p>
    <w:p>
      <w:pPr>
        <w:spacing w:after="120"/>
      </w:pPr>
      <w:r>
        <w:t xml:space="preserve">Choose metrics that respect the fact that this is a rare-event count problem. Accuracy and R² are meaningless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1F4E79" w:val="clear"/>
            <w:tcMar>
              <w:top w:type="dxa" w:w="80"/>
              <w:left w:type="dxa" w:w="100"/>
              <w:bottom w:type="dxa" w:w="80"/>
              <w:right w:type="dxa" w:w="100"/>
            </w:tcMar>
          </w:tcPr>
          <w:p>
            <w:r>
              <w:rPr>
                <w:b/>
                <w:bCs/>
                <w:color w:val="FFFFFF"/>
                <w:sz w:val="18"/>
                <w:szCs w:val="18"/>
              </w:rPr>
              <w:t xml:space="preserve">Metric</w:t>
            </w:r>
          </w:p>
        </w:tc>
        <w:tc>
          <w:tcPr>
            <w:tcW w:type="dxa" w:w="3400"/>
            <w:shd w:fill="1F4E79" w:val="clear"/>
            <w:tcMar>
              <w:top w:type="dxa" w:w="80"/>
              <w:left w:type="dxa" w:w="100"/>
              <w:bottom w:type="dxa" w:w="80"/>
              <w:right w:type="dxa" w:w="100"/>
            </w:tcMar>
          </w:tcPr>
          <w:p>
            <w:r>
              <w:rPr>
                <w:b/>
                <w:bCs/>
                <w:color w:val="FFFFFF"/>
                <w:sz w:val="18"/>
                <w:szCs w:val="18"/>
              </w:rPr>
              <w:t xml:space="preserve">Definition / use</w:t>
            </w:r>
          </w:p>
        </w:tc>
        <w:tc>
          <w:tcPr>
            <w:tcW w:type="dxa" w:w="3560"/>
            <w:shd w:fill="1F4E79" w:val="clear"/>
            <w:tcMar>
              <w:top w:type="dxa" w:w="80"/>
              <w:left w:type="dxa" w:w="100"/>
              <w:bottom w:type="dxa" w:w="80"/>
              <w:right w:type="dxa" w:w="100"/>
            </w:tcMar>
          </w:tcPr>
          <w:p>
            <w:r>
              <w:rPr>
                <w:b/>
                <w:bCs/>
                <w:color w:val="FFFFFF"/>
                <w:sz w:val="18"/>
                <w:szCs w:val="18"/>
              </w:rPr>
              <w:t xml:space="preserve">Notes</w:t>
            </w:r>
          </w:p>
        </w:tc>
      </w:tr>
      <w:tr>
        <w:tc>
          <w:tcPr>
            <w:tcW w:type="dxa" w:w="2400"/>
            <w:shd w:fill="FFFFFF" w:val="clear"/>
            <w:tcMar>
              <w:top w:type="dxa" w:w="70"/>
              <w:left w:type="dxa" w:w="100"/>
              <w:bottom w:type="dxa" w:w="70"/>
              <w:right w:type="dxa" w:w="100"/>
            </w:tcMar>
          </w:tcPr>
          <w:p>
            <w:r>
              <w:rPr>
                <w:sz w:val="18"/>
                <w:szCs w:val="18"/>
              </w:rPr>
              <w:t xml:space="preserve">Test negative log-likelihood</w:t>
            </w:r>
          </w:p>
        </w:tc>
        <w:tc>
          <w:tcPr>
            <w:tcW w:type="dxa" w:w="3400"/>
            <w:shd w:fill="FFFFFF" w:val="clear"/>
            <w:tcMar>
              <w:top w:type="dxa" w:w="70"/>
              <w:left w:type="dxa" w:w="100"/>
              <w:bottom w:type="dxa" w:w="70"/>
              <w:right w:type="dxa" w:w="100"/>
            </w:tcMar>
          </w:tcPr>
          <w:p>
            <w:r>
              <w:rPr>
                <w:sz w:val="18"/>
                <w:szCs w:val="18"/>
              </w:rPr>
              <w:t xml:space="preserve">Under each model's own distribution</w:t>
            </w:r>
          </w:p>
        </w:tc>
        <w:tc>
          <w:tcPr>
            <w:tcW w:type="dxa" w:w="3560"/>
            <w:shd w:fill="FFFFFF" w:val="clear"/>
            <w:tcMar>
              <w:top w:type="dxa" w:w="70"/>
              <w:left w:type="dxa" w:w="100"/>
              <w:bottom w:type="dxa" w:w="70"/>
              <w:right w:type="dxa" w:w="100"/>
            </w:tcMar>
          </w:tcPr>
          <w:p>
            <w:r>
              <w:rPr>
                <w:sz w:val="18"/>
                <w:szCs w:val="18"/>
              </w:rPr>
              <w:t xml:space="preserve">The primary metric — it is the loss the model optimises</w:t>
            </w:r>
          </w:p>
        </w:tc>
      </w:tr>
      <w:tr>
        <w:tc>
          <w:tcPr>
            <w:tcW w:type="dxa" w:w="2400"/>
            <w:shd w:fill="F7F9FC" w:val="clear"/>
            <w:tcMar>
              <w:top w:type="dxa" w:w="70"/>
              <w:left w:type="dxa" w:w="100"/>
              <w:bottom w:type="dxa" w:w="70"/>
              <w:right w:type="dxa" w:w="100"/>
            </w:tcMar>
          </w:tcPr>
          <w:p>
            <w:r>
              <w:rPr>
                <w:sz w:val="18"/>
                <w:szCs w:val="18"/>
              </w:rPr>
              <w:t xml:space="preserve">Poisson deviance</w:t>
            </w:r>
          </w:p>
        </w:tc>
        <w:tc>
          <w:tcPr>
            <w:tcW w:type="dxa" w:w="3400"/>
            <w:shd w:fill="F7F9FC" w:val="clear"/>
            <w:tcMar>
              <w:top w:type="dxa" w:w="70"/>
              <w:left w:type="dxa" w:w="100"/>
              <w:bottom w:type="dxa" w:w="70"/>
              <w:right w:type="dxa" w:w="100"/>
            </w:tcMar>
          </w:tcPr>
          <w:p>
            <w:r>
              <w:rPr>
                <w:sz w:val="18"/>
                <w:szCs w:val="18"/>
              </w:rPr>
              <w:t xml:space="preserve">2·Σ[y·log(y/μ) − (y−μ)]</w:t>
            </w:r>
          </w:p>
        </w:tc>
        <w:tc>
          <w:tcPr>
            <w:tcW w:type="dxa" w:w="3560"/>
            <w:shd w:fill="F7F9FC" w:val="clear"/>
            <w:tcMar>
              <w:top w:type="dxa" w:w="70"/>
              <w:left w:type="dxa" w:w="100"/>
              <w:bottom w:type="dxa" w:w="70"/>
              <w:right w:type="dxa" w:w="100"/>
            </w:tcMar>
          </w:tcPr>
          <w:p>
            <w:r>
              <w:rPr>
                <w:sz w:val="18"/>
                <w:szCs w:val="18"/>
              </w:rPr>
              <w:t xml:space="preserve">Standard actuarial goodness-of-fit; comparable across models</w:t>
            </w:r>
          </w:p>
        </w:tc>
      </w:tr>
      <w:tr>
        <w:tc>
          <w:tcPr>
            <w:tcW w:type="dxa" w:w="2400"/>
            <w:shd w:fill="FFFFFF" w:val="clear"/>
            <w:tcMar>
              <w:top w:type="dxa" w:w="70"/>
              <w:left w:type="dxa" w:w="100"/>
              <w:bottom w:type="dxa" w:w="70"/>
              <w:right w:type="dxa" w:w="100"/>
            </w:tcMar>
          </w:tcPr>
          <w:p>
            <w:r>
              <w:rPr>
                <w:sz w:val="18"/>
                <w:szCs w:val="18"/>
              </w:rPr>
              <w:t xml:space="preserve">Balance / bias check</w:t>
            </w:r>
          </w:p>
        </w:tc>
        <w:tc>
          <w:tcPr>
            <w:tcW w:type="dxa" w:w="3400"/>
            <w:shd w:fill="FFFFFF" w:val="clear"/>
            <w:tcMar>
              <w:top w:type="dxa" w:w="70"/>
              <w:left w:type="dxa" w:w="100"/>
              <w:bottom w:type="dxa" w:w="70"/>
              <w:right w:type="dxa" w:w="100"/>
            </w:tcMar>
          </w:tcPr>
          <w:p>
            <w:r>
              <w:rPr>
                <w:sz w:val="18"/>
                <w:szCs w:val="18"/>
              </w:rPr>
              <w:t xml:space="preserve">Σμ̂ vs Σy on the test set</w:t>
            </w:r>
          </w:p>
        </w:tc>
        <w:tc>
          <w:tcPr>
            <w:tcW w:type="dxa" w:w="3560"/>
            <w:shd w:fill="FFFFFF" w:val="clear"/>
            <w:tcMar>
              <w:top w:type="dxa" w:w="70"/>
              <w:left w:type="dxa" w:w="100"/>
              <w:bottom w:type="dxa" w:w="70"/>
              <w:right w:type="dxa" w:w="100"/>
            </w:tcMar>
          </w:tcPr>
          <w:p>
            <w:r>
              <w:rPr>
                <w:sz w:val="18"/>
                <w:szCs w:val="18"/>
              </w:rPr>
              <w:t xml:space="preserve">A pricing model that is off in aggregate is unusable, whatever its NLL</w:t>
            </w:r>
          </w:p>
        </w:tc>
      </w:tr>
      <w:tr>
        <w:tc>
          <w:tcPr>
            <w:tcW w:type="dxa" w:w="2400"/>
            <w:shd w:fill="F7F9FC" w:val="clear"/>
            <w:tcMar>
              <w:top w:type="dxa" w:w="70"/>
              <w:left w:type="dxa" w:w="100"/>
              <w:bottom w:type="dxa" w:w="70"/>
              <w:right w:type="dxa" w:w="100"/>
            </w:tcMar>
          </w:tcPr>
          <w:p>
            <w:r>
              <w:rPr>
                <w:sz w:val="18"/>
                <w:szCs w:val="18"/>
              </w:rPr>
              <w:t xml:space="preserve">Lift curve / decile analysis</w:t>
            </w:r>
          </w:p>
        </w:tc>
        <w:tc>
          <w:tcPr>
            <w:tcW w:type="dxa" w:w="3400"/>
            <w:shd w:fill="F7F9FC" w:val="clear"/>
            <w:tcMar>
              <w:top w:type="dxa" w:w="70"/>
              <w:left w:type="dxa" w:w="100"/>
              <w:bottom w:type="dxa" w:w="70"/>
              <w:right w:type="dxa" w:w="100"/>
            </w:tcMar>
          </w:tcPr>
          <w:p>
            <w:r>
              <w:rPr>
                <w:sz w:val="18"/>
                <w:szCs w:val="18"/>
              </w:rPr>
              <w:t xml:space="preserve">Sort by μ̂, compare observed vs predicted frequency per decile</w:t>
            </w:r>
          </w:p>
        </w:tc>
        <w:tc>
          <w:tcPr>
            <w:tcW w:type="dxa" w:w="3560"/>
            <w:shd w:fill="F7F9FC" w:val="clear"/>
            <w:tcMar>
              <w:top w:type="dxa" w:w="70"/>
              <w:left w:type="dxa" w:w="100"/>
              <w:bottom w:type="dxa" w:w="70"/>
              <w:right w:type="dxa" w:w="100"/>
            </w:tcMar>
          </w:tcPr>
          <w:p>
            <w:r>
              <w:rPr>
                <w:sz w:val="18"/>
                <w:szCs w:val="18"/>
              </w:rPr>
              <w:t xml:space="preserve">The actuarial standard for discrimination; shows whether the model ranks risk</w:t>
            </w:r>
          </w:p>
        </w:tc>
      </w:tr>
      <w:tr>
        <w:tc>
          <w:tcPr>
            <w:tcW w:type="dxa" w:w="2400"/>
            <w:shd w:fill="FFFFFF" w:val="clear"/>
            <w:tcMar>
              <w:top w:type="dxa" w:w="70"/>
              <w:left w:type="dxa" w:w="100"/>
              <w:bottom w:type="dxa" w:w="70"/>
              <w:right w:type="dxa" w:w="100"/>
            </w:tcMar>
          </w:tcPr>
          <w:p>
            <w:r>
              <w:rPr>
                <w:sz w:val="18"/>
                <w:szCs w:val="18"/>
              </w:rPr>
              <w:t xml:space="preserve">Gini / concentration curve</w:t>
            </w:r>
          </w:p>
        </w:tc>
        <w:tc>
          <w:tcPr>
            <w:tcW w:type="dxa" w:w="3400"/>
            <w:shd w:fill="FFFFFF" w:val="clear"/>
            <w:tcMar>
              <w:top w:type="dxa" w:w="70"/>
              <w:left w:type="dxa" w:w="100"/>
              <w:bottom w:type="dxa" w:w="70"/>
              <w:right w:type="dxa" w:w="100"/>
            </w:tcMar>
          </w:tcPr>
          <w:p>
            <w:r>
              <w:rPr>
                <w:sz w:val="18"/>
                <w:szCs w:val="18"/>
              </w:rPr>
              <w:t xml:space="preserve">Ordered Lorenz curve on predicted risk</w:t>
            </w:r>
          </w:p>
        </w:tc>
        <w:tc>
          <w:tcPr>
            <w:tcW w:type="dxa" w:w="3560"/>
            <w:shd w:fill="FFFFFF" w:val="clear"/>
            <w:tcMar>
              <w:top w:type="dxa" w:w="70"/>
              <w:left w:type="dxa" w:w="100"/>
              <w:bottom w:type="dxa" w:w="70"/>
              <w:right w:type="dxa" w:w="100"/>
            </w:tcMar>
          </w:tcPr>
          <w:p>
            <w:r>
              <w:rPr>
                <w:sz w:val="18"/>
                <w:szCs w:val="18"/>
              </w:rPr>
              <w:t xml:space="preserve">Standard for comparing pricing models</w:t>
            </w:r>
          </w:p>
        </w:tc>
      </w:tr>
      <w:tr>
        <w:tc>
          <w:tcPr>
            <w:tcW w:type="dxa" w:w="2400"/>
            <w:shd w:fill="F7F9FC" w:val="clear"/>
            <w:tcMar>
              <w:top w:type="dxa" w:w="70"/>
              <w:left w:type="dxa" w:w="100"/>
              <w:bottom w:type="dxa" w:w="70"/>
              <w:right w:type="dxa" w:w="100"/>
            </w:tcMar>
          </w:tcPr>
          <w:p>
            <w:r>
              <w:rPr>
                <w:sz w:val="18"/>
                <w:szCs w:val="18"/>
              </w:rPr>
              <w:t xml:space="preserve">Calibration by band</w:t>
            </w:r>
          </w:p>
        </w:tc>
        <w:tc>
          <w:tcPr>
            <w:tcW w:type="dxa" w:w="3400"/>
            <w:shd w:fill="F7F9FC" w:val="clear"/>
            <w:tcMar>
              <w:top w:type="dxa" w:w="70"/>
              <w:left w:type="dxa" w:w="100"/>
              <w:bottom w:type="dxa" w:w="70"/>
              <w:right w:type="dxa" w:w="100"/>
            </w:tcMar>
          </w:tcPr>
          <w:p>
            <w:r>
              <w:rPr>
                <w:sz w:val="18"/>
                <w:szCs w:val="18"/>
              </w:rPr>
              <w:t xml:space="preserve">Observed vs predicted frequency within predicted-risk bands</w:t>
            </w:r>
          </w:p>
        </w:tc>
        <w:tc>
          <w:tcPr>
            <w:tcW w:type="dxa" w:w="3560"/>
            <w:shd w:fill="F7F9FC" w:val="clear"/>
            <w:tcMar>
              <w:top w:type="dxa" w:w="70"/>
              <w:left w:type="dxa" w:w="100"/>
              <w:bottom w:type="dxa" w:w="70"/>
              <w:right w:type="dxa" w:w="100"/>
            </w:tcMar>
          </w:tcPr>
          <w:p>
            <w:r>
              <w:rPr>
                <w:sz w:val="18"/>
                <w:szCs w:val="18"/>
              </w:rPr>
              <w:t xml:space="preserve">Catches models that rank well but are systematically miscalibrated</w:t>
            </w:r>
          </w:p>
        </w:tc>
      </w:tr>
    </w:tbl>
    <w:p>
      <w:pPr>
        <w:spacing w:after="120"/>
      </w:pPr>
      <w:r>
        <w:t xml:space="preserve">Present the results as one table: rows = the four model sets, columns = the metrics, with the GLM-A row as the reference. The headline claim you are testing is the paper's: the CANN with learned telematics representations beats the log-linear model with hand-engineered telematics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8" w:val="clear"/>
            <w:tcMar>
              <w:top w:type="dxa" w:w="120"/>
              <w:left w:type="dxa" w:w="160"/>
              <w:bottom w:type="dxa" w:w="120"/>
              <w:right w:type="dxa" w:w="160"/>
            </w:tcMar>
          </w:tcPr>
          <w:p>
            <w:pPr>
              <w:spacing w:after="60"/>
            </w:pPr>
            <w:r>
              <w:rPr>
                <w:b/>
                <w:bCs/>
                <w:color w:val="1F4E79"/>
                <w:sz w:val="20"/>
                <w:szCs w:val="20"/>
              </w:rPr>
              <w:t xml:space="preserve">Comparing NLLs across distributions — a trap</w:t>
            </w:r>
          </w:p>
          <w:p>
            <w:pPr>
              <w:spacing w:after="60"/>
            </w:pPr>
            <w:r>
              <w:rPr>
                <w:sz w:val="20"/>
                <w:szCs w:val="20"/>
              </w:rPr>
              <w:t xml:space="preserve">A Poisson NLL and an NB NLL are not on the same scale, because they are likelihoods of different models. To compare Poisson-CANN against NB-CANN fairly, either (a) compare on a common footing such as Poisson deviance or the lift/Gini ranking metrics, or (b) compare information criteria that penalise the extra dispersion parameter. Do not simply report that one NLL number is smaller.</w:t>
            </w:r>
          </w:p>
        </w:tc>
      </w:tr>
    </w:tbl>
    <w:p>
      <w:pPr>
        <w:pStyle w:val="Heading1"/>
        <w:spacing w:after="160" w:before="360"/>
      </w:pPr>
      <w:r>
        <w:t xml:space="preserve">9. Phase 7 — Interpretation</w:t>
      </w:r>
    </w:p>
    <w:p>
      <w:pPr>
        <w:spacing w:after="120"/>
      </w:pPr>
      <w:r>
        <w:t xml:space="preserve">The paper interprets its networks with permutation feature importance and partial dependence plots. Reproduce both — this is what turns the project from "I trained a neural net" into "I can defend a neural net to an actuarial committee".</w:t>
      </w:r>
    </w:p>
    <w:p>
      <w:pPr>
        <w:pStyle w:val="Heading2"/>
        <w:spacing w:after="120" w:before="280"/>
      </w:pPr>
      <w:r>
        <w:t xml:space="preserve">9.1 Permutation feature importance</w:t>
      </w:r>
    </w:p>
    <w:p>
      <w:pPr>
        <w:spacing w:after="120"/>
      </w:pPr>
      <w:r>
        <w:t xml:space="preserve">For each feature, shuffle its column in the test set, re-predict, and record the increase in test NLL. Average over several shuffles. Rank the features. Then compare that ranking against the GLM's |z| ranking — where the CANN promotes a feature the GLM ignored, you have found a non-linearity or an interaction, and that is a result worth reporting.</w:t>
      </w:r>
    </w:p>
    <w:p>
      <w:pPr>
        <w:spacing w:after="120"/>
      </w:pPr>
      <w:r>
        <w:t xml:space="preserve">Caveat to state explicitly: permutation importance is unreliable under strong collinearity, and this telematics block is strongly collinear. Permute correlated features as GROUPS (all braking thresholds together, all day-of-week percentages together) as well as individually.</w:t>
      </w:r>
    </w:p>
    <w:p>
      <w:pPr>
        <w:pStyle w:val="Heading2"/>
        <w:spacing w:after="120" w:before="280"/>
      </w:pPr>
      <w:r>
        <w:t xml:space="preserve">9.2 Partial dependence</w:t>
      </w:r>
    </w:p>
    <w:p>
      <w:pPr>
        <w:spacing w:after="120"/>
      </w:pPr>
      <w:r>
        <w:t xml:space="preserve">For a feature of interest, sweep it across a grid, hold everything else at its observed values, average the predicted frequency, and plot. Do this for mileage, rush-hour percentage, and one harsh-braking variable. Overlay the GLM's fitted linear effect on the same axes — the gap between the two curves is a direct picture of what the network added.</w:t>
      </w:r>
    </w:p>
    <w:p>
      <w:pPr>
        <w:pStyle w:val="Heading2"/>
        <w:spacing w:after="120" w:before="280"/>
      </w:pPr>
      <w:r>
        <w:t xml:space="preserve">9.3 The interpretability argument</w:t>
      </w:r>
    </w:p>
    <w:p>
      <w:pPr>
        <w:spacing w:after="120"/>
      </w:pPr>
      <w:r>
        <w:t xml:space="preserve">Close this section with the argument that makes the project persuasive: the CANN is not a replacement for the GLM, it is a diagnostic ON the GLM. Where the partial dependence curve departs from the log-linear fit, you have identified a missing spline, a missing band, or a missing interaction — which you can then put back INTO the GLM. That gives you a defensible, transparent tariff informed by the network, rather than a black box in production.</w:t>
      </w:r>
    </w:p>
    <w:p>
      <w:pPr>
        <w:pStyle w:val="Heading2"/>
        <w:spacing w:after="120" w:before="280"/>
      </w:pPr>
      <w:r>
        <w:t xml:space="preserve">9.4 Stating the scope boundary in the write-up</w:t>
      </w:r>
    </w:p>
    <w:p>
      <w:pPr>
        <w:spacing w:after="120"/>
      </w:pPr>
      <w:r>
        <w:t xml:space="preserve">Do not leave the missing MVNB specification unaddressed — an informed reader will notice it immediately. State it plainly and early: the paper’s novel contribution is training a CANN under a Multivariate Negative Binomial likelihood, in which a single Gamma frailty is drawn per insured and shared across all that insured’s contract-years, creating exactly the correlation that credibility and bonus-malus systems exploit. That construction requires panel data. The public dataset has one row per policy and no insured identifier, so the MVNB reduces to the ordinary NB and there is nothing to gain from implementing it.</w:t>
      </w:r>
    </w:p>
    <w:p>
      <w:pPr>
        <w:spacing w:after="120"/>
      </w:pPr>
      <w:r>
        <w:t xml:space="preserve">Framed this way, the omission becomes a demonstration that you understand what MVNB is FOR, which is more convincing than an unexplained gap — and stronger than fitting it anyway on data that cannot support it.</w:t>
      </w:r>
    </w:p>
    <w:p>
      <w:pPr>
        <w:pStyle w:val="Heading1"/>
        <w:spacing w:after="160" w:before="360"/>
      </w:pPr>
      <w:r>
        <w:t xml:space="preserve">10. Checkpoints — what to compare against</w:t>
      </w:r>
    </w:p>
    <w:p>
      <w:pPr>
        <w:spacing w:after="120"/>
      </w:pPr>
      <w:r>
        <w:t xml:space="preserve">Independently documented figures you can verify on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60"/>
      </w:tblGrid>
      <w:tr>
        <w:trPr>
          <w:tblHeader/>
        </w:trPr>
        <w:tc>
          <w:tcPr>
            <w:tcW w:type="dxa" w:w="2900"/>
            <w:shd w:fill="1F4E79" w:val="clear"/>
            <w:tcMar>
              <w:top w:type="dxa" w:w="80"/>
              <w:left w:type="dxa" w:w="100"/>
              <w:bottom w:type="dxa" w:w="80"/>
              <w:right w:type="dxa" w:w="100"/>
            </w:tcMar>
          </w:tcPr>
          <w:p>
            <w:r>
              <w:rPr>
                <w:b/>
                <w:bCs/>
                <w:color w:val="FFFFFF"/>
                <w:sz w:val="18"/>
                <w:szCs w:val="18"/>
              </w:rPr>
              <w:t xml:space="preserve">Checkpoint</w:t>
            </w:r>
          </w:p>
        </w:tc>
        <w:tc>
          <w:tcPr>
            <w:tcW w:type="dxa" w:w="3300"/>
            <w:shd w:fill="1F4E79" w:val="clear"/>
            <w:tcMar>
              <w:top w:type="dxa" w:w="80"/>
              <w:left w:type="dxa" w:w="100"/>
              <w:bottom w:type="dxa" w:w="80"/>
              <w:right w:type="dxa" w:w="100"/>
            </w:tcMar>
          </w:tcPr>
          <w:p>
            <w:r>
              <w:rPr>
                <w:b/>
                <w:bCs/>
                <w:color w:val="FFFFFF"/>
                <w:sz w:val="18"/>
                <w:szCs w:val="18"/>
              </w:rPr>
              <w:t xml:space="preserve">Expected</w:t>
            </w:r>
          </w:p>
        </w:tc>
        <w:tc>
          <w:tcPr>
            <w:tcW w:type="dxa" w:w="3160"/>
            <w:shd w:fill="1F4E79" w:val="clear"/>
            <w:tcMar>
              <w:top w:type="dxa" w:w="80"/>
              <w:left w:type="dxa" w:w="100"/>
              <w:bottom w:type="dxa" w:w="80"/>
              <w:right w:type="dxa" w:w="100"/>
            </w:tcMar>
          </w:tcPr>
          <w:p>
            <w:r>
              <w:rPr>
                <w:b/>
                <w:bCs/>
                <w:color w:val="FFFFFF"/>
                <w:sz w:val="18"/>
                <w:szCs w:val="18"/>
              </w:rPr>
              <w:t xml:space="preserve">Source</w:t>
            </w:r>
          </w:p>
        </w:tc>
      </w:tr>
      <w:tr>
        <w:tc>
          <w:tcPr>
            <w:tcW w:type="dxa" w:w="2900"/>
            <w:shd w:fill="FFFFFF" w:val="clear"/>
            <w:tcMar>
              <w:top w:type="dxa" w:w="70"/>
              <w:left w:type="dxa" w:w="100"/>
              <w:bottom w:type="dxa" w:w="70"/>
              <w:right w:type="dxa" w:w="100"/>
            </w:tcMar>
          </w:tcPr>
          <w:p>
            <w:r>
              <w:rPr>
                <w:sz w:val="18"/>
                <w:szCs w:val="18"/>
              </w:rPr>
              <w:t xml:space="preserve">Rows</w:t>
            </w:r>
          </w:p>
        </w:tc>
        <w:tc>
          <w:tcPr>
            <w:tcW w:type="dxa" w:w="3300"/>
            <w:shd w:fill="FFFFFF" w:val="clear"/>
            <w:tcMar>
              <w:top w:type="dxa" w:w="70"/>
              <w:left w:type="dxa" w:w="100"/>
              <w:bottom w:type="dxa" w:w="70"/>
              <w:right w:type="dxa" w:w="100"/>
            </w:tcMar>
          </w:tcPr>
          <w:p>
            <w:r>
              <w:rPr>
                <w:sz w:val="18"/>
                <w:szCs w:val="18"/>
              </w:rPr>
              <w:t xml:space="preserve">100,000</w:t>
            </w:r>
          </w:p>
        </w:tc>
        <w:tc>
          <w:tcPr>
            <w:tcW w:type="dxa" w:w="3160"/>
            <w:shd w:fill="FFFFFF" w:val="clear"/>
            <w:tcMar>
              <w:top w:type="dxa" w:w="70"/>
              <w:left w:type="dxa" w:w="100"/>
              <w:bottom w:type="dxa" w:w="70"/>
              <w:right w:type="dxa" w:w="100"/>
            </w:tcMar>
          </w:tcPr>
          <w:p>
            <w:r>
              <w:rPr>
                <w:sz w:val="18"/>
                <w:szCs w:val="18"/>
              </w:rPr>
              <w:t xml:space="preserve">So, Boucher &amp; Valdez (2021)</w:t>
            </w:r>
          </w:p>
        </w:tc>
      </w:tr>
      <w:tr>
        <w:tc>
          <w:tcPr>
            <w:tcW w:type="dxa" w:w="2900"/>
            <w:shd w:fill="F7F9FC" w:val="clear"/>
            <w:tcMar>
              <w:top w:type="dxa" w:w="70"/>
              <w:left w:type="dxa" w:w="100"/>
              <w:bottom w:type="dxa" w:w="70"/>
              <w:right w:type="dxa" w:w="100"/>
            </w:tcMar>
          </w:tcPr>
          <w:p>
            <w:r>
              <w:rPr>
                <w:sz w:val="18"/>
                <w:szCs w:val="18"/>
              </w:rPr>
              <w:t xml:space="preserve">Columns</w:t>
            </w:r>
          </w:p>
        </w:tc>
        <w:tc>
          <w:tcPr>
            <w:tcW w:type="dxa" w:w="3300"/>
            <w:shd w:fill="F7F9FC" w:val="clear"/>
            <w:tcMar>
              <w:top w:type="dxa" w:w="70"/>
              <w:left w:type="dxa" w:w="100"/>
              <w:bottom w:type="dxa" w:w="70"/>
              <w:right w:type="dxa" w:w="100"/>
            </w:tcMar>
          </w:tcPr>
          <w:p>
            <w:r>
              <w:rPr>
                <w:sz w:val="18"/>
                <w:szCs w:val="18"/>
              </w:rPr>
              <w:t xml:space="preserve">52</w:t>
            </w:r>
          </w:p>
        </w:tc>
        <w:tc>
          <w:tcPr>
            <w:tcW w:type="dxa" w:w="3160"/>
            <w:shd w:fill="F7F9FC" w:val="clear"/>
            <w:tcMar>
              <w:top w:type="dxa" w:w="70"/>
              <w:left w:type="dxa" w:w="100"/>
              <w:bottom w:type="dxa" w:w="70"/>
              <w:right w:type="dxa" w:w="100"/>
            </w:tcMar>
          </w:tcPr>
          <w:p>
            <w:r>
              <w:rPr>
                <w:sz w:val="18"/>
                <w:szCs w:val="18"/>
              </w:rPr>
              <w:t xml:space="preserve">So, Boucher &amp; Valdez (2021)</w:t>
            </w:r>
          </w:p>
        </w:tc>
      </w:tr>
      <w:tr>
        <w:tc>
          <w:tcPr>
            <w:tcW w:type="dxa" w:w="2900"/>
            <w:shd w:fill="FFFFFF" w:val="clear"/>
            <w:tcMar>
              <w:top w:type="dxa" w:w="70"/>
              <w:left w:type="dxa" w:w="100"/>
              <w:bottom w:type="dxa" w:w="70"/>
              <w:right w:type="dxa" w:w="100"/>
            </w:tcMar>
          </w:tcPr>
          <w:p>
            <w:r>
              <w:rPr>
                <w:sz w:val="18"/>
                <w:szCs w:val="18"/>
              </w:rPr>
              <w:t xml:space="preserve">Policies with ≥1 claim</w:t>
            </w:r>
          </w:p>
        </w:tc>
        <w:tc>
          <w:tcPr>
            <w:tcW w:type="dxa" w:w="3300"/>
            <w:shd w:fill="FFFFFF" w:val="clear"/>
            <w:tcMar>
              <w:top w:type="dxa" w:w="70"/>
              <w:left w:type="dxa" w:w="100"/>
              <w:bottom w:type="dxa" w:w="70"/>
              <w:right w:type="dxa" w:w="100"/>
            </w:tcMar>
          </w:tcPr>
          <w:p>
            <w:r>
              <w:rPr>
                <w:sz w:val="18"/>
                <w:szCs w:val="18"/>
              </w:rPr>
              <w:t xml:space="preserve">≈ 2,698 (≈2.7%)</w:t>
            </w:r>
          </w:p>
        </w:tc>
        <w:tc>
          <w:tcPr>
            <w:tcW w:type="dxa" w:w="3160"/>
            <w:shd w:fill="FFFFFF" w:val="clear"/>
            <w:tcMar>
              <w:top w:type="dxa" w:w="70"/>
              <w:left w:type="dxa" w:w="100"/>
              <w:bottom w:type="dxa" w:w="70"/>
              <w:right w:type="dxa" w:w="100"/>
            </w:tcMar>
          </w:tcPr>
          <w:p>
            <w:r>
              <w:rPr>
                <w:sz w:val="18"/>
                <w:szCs w:val="18"/>
              </w:rPr>
              <w:t xml:space="preserve">Multiple published studies using this file</w:t>
            </w:r>
          </w:p>
        </w:tc>
      </w:tr>
      <w:tr>
        <w:tc>
          <w:tcPr>
            <w:tcW w:type="dxa" w:w="2900"/>
            <w:shd w:fill="F7F9FC" w:val="clear"/>
            <w:tcMar>
              <w:top w:type="dxa" w:w="70"/>
              <w:left w:type="dxa" w:w="100"/>
              <w:bottom w:type="dxa" w:w="70"/>
              <w:right w:type="dxa" w:w="100"/>
            </w:tcMar>
          </w:tcPr>
          <w:p>
            <w:r>
              <w:rPr>
                <w:sz w:val="18"/>
                <w:szCs w:val="18"/>
              </w:rPr>
              <w:t xml:space="preserve">Territory levels</w:t>
            </w:r>
          </w:p>
        </w:tc>
        <w:tc>
          <w:tcPr>
            <w:tcW w:type="dxa" w:w="3300"/>
            <w:shd w:fill="F7F9FC" w:val="clear"/>
            <w:tcMar>
              <w:top w:type="dxa" w:w="70"/>
              <w:left w:type="dxa" w:w="100"/>
              <w:bottom w:type="dxa" w:w="70"/>
              <w:right w:type="dxa" w:w="100"/>
            </w:tcMar>
          </w:tcPr>
          <w:p>
            <w:r>
              <w:rPr>
                <w:sz w:val="18"/>
                <w:szCs w:val="18"/>
              </w:rPr>
              <w:t xml:space="preserve">≈ 55</w:t>
            </w:r>
          </w:p>
        </w:tc>
        <w:tc>
          <w:tcPr>
            <w:tcW w:type="dxa" w:w="3160"/>
            <w:shd w:fill="F7F9FC" w:val="clear"/>
            <w:tcMar>
              <w:top w:type="dxa" w:w="70"/>
              <w:left w:type="dxa" w:w="100"/>
              <w:bottom w:type="dxa" w:w="70"/>
              <w:right w:type="dxa" w:w="100"/>
            </w:tcMar>
          </w:tcPr>
          <w:p>
            <w:r>
              <w:rPr>
                <w:sz w:val="18"/>
                <w:szCs w:val="18"/>
              </w:rPr>
              <w:t xml:space="preserve">Jeong (2022) discusses this as a GLM problem</w:t>
            </w:r>
          </w:p>
        </w:tc>
      </w:tr>
      <w:tr>
        <w:tc>
          <w:tcPr>
            <w:tcW w:type="dxa" w:w="2900"/>
            <w:shd w:fill="FFFFFF" w:val="clear"/>
            <w:tcMar>
              <w:top w:type="dxa" w:w="70"/>
              <w:left w:type="dxa" w:w="100"/>
              <w:bottom w:type="dxa" w:w="70"/>
              <w:right w:type="dxa" w:w="100"/>
            </w:tcMar>
          </w:tcPr>
          <w:p>
            <w:r>
              <w:rPr>
                <w:sz w:val="18"/>
                <w:szCs w:val="18"/>
              </w:rPr>
              <w:t xml:space="preserve">Traditional / telematics split</w:t>
            </w:r>
          </w:p>
        </w:tc>
        <w:tc>
          <w:tcPr>
            <w:tcW w:type="dxa" w:w="3300"/>
            <w:shd w:fill="FFFFFF" w:val="clear"/>
            <w:tcMar>
              <w:top w:type="dxa" w:w="70"/>
              <w:left w:type="dxa" w:w="100"/>
              <w:bottom w:type="dxa" w:w="70"/>
              <w:right w:type="dxa" w:w="100"/>
            </w:tcMar>
          </w:tcPr>
          <w:p>
            <w:r>
              <w:rPr>
                <w:sz w:val="18"/>
                <w:szCs w:val="18"/>
              </w:rPr>
              <w:t xml:space="preserve">11 traditional, 10 telematics after the dimension reduction of Jeong (2022)</w:t>
            </w:r>
          </w:p>
        </w:tc>
        <w:tc>
          <w:tcPr>
            <w:tcW w:type="dxa" w:w="3160"/>
            <w:shd w:fill="FFFFFF" w:val="clear"/>
            <w:tcMar>
              <w:top w:type="dxa" w:w="70"/>
              <w:left w:type="dxa" w:w="100"/>
              <w:bottom w:type="dxa" w:w="70"/>
              <w:right w:type="dxa" w:w="100"/>
            </w:tcMar>
          </w:tcPr>
          <w:p>
            <w:r>
              <w:rPr>
                <w:sz w:val="18"/>
                <w:szCs w:val="18"/>
              </w:rPr>
              <w:t xml:space="preserve">Variance journal, telematics safety scores paper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8" w:val="clear"/>
            <w:tcMar>
              <w:top w:type="dxa" w:w="120"/>
              <w:left w:type="dxa" w:w="160"/>
              <w:bottom w:type="dxa" w:w="120"/>
              <w:right w:type="dxa" w:w="160"/>
            </w:tcMar>
          </w:tcPr>
          <w:p>
            <w:pPr>
              <w:spacing w:after="60"/>
            </w:pPr>
            <w:r>
              <w:rPr>
                <w:b/>
                <w:bCs/>
                <w:color w:val="1F4E79"/>
                <w:sz w:val="20"/>
                <w:szCs w:val="20"/>
              </w:rPr>
              <w:t xml:space="preserve">Honest note on the accompanying scripts</w:t>
            </w:r>
          </w:p>
          <w:p>
            <w:pPr>
              <w:spacing w:after="60"/>
            </w:pPr>
            <w:r>
              <w:rPr>
                <w:sz w:val="20"/>
                <w:szCs w:val="20"/>
              </w:rPr>
              <w:t xml:space="preserve">The three scripts delivered with this plan were written and debugged end-to-end, but they were executed against a STAND-IN dataset built to the exact 52-column schema, not against the real file — the UConn host is outside my sandbox's network allowlist, so I could not download it.</w:t>
            </w:r>
          </w:p>
          <w:p>
            <w:pPr>
              <w:spacing w:after="60"/>
            </w:pPr>
            <w:r>
              <w:rPr>
                <w:sz w:val="20"/>
                <w:szCs w:val="20"/>
              </w:rPr>
              <w:t xml:space="preserve">What this means in practice: the code is verified to run without errors and to recover known planted effects correctly (the GLM recovered the simulated age, rush-hour and mileage signals; the CANN warm-started from the GLM and improved on it). The NUMBERS it printed are from the stand-in data and are meaningless as benchmarks. Run the scripts on the real CSV to get the figures that matter — and treat the checkpoint table above, not my output, as your comparison reference.</w:t>
            </w:r>
          </w:p>
        </w:tc>
      </w:tr>
    </w:tbl>
    <w:p>
      <w:pPr>
        <w:pStyle w:val="Heading1"/>
        <w:spacing w:after="160" w:before="360"/>
      </w:pPr>
      <w:r>
        <w:t xml:space="preserve">11. Suggested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4160"/>
      </w:tblGrid>
      <w:tr>
        <w:trPr>
          <w:tblHeader/>
        </w:trPr>
        <w:tc>
          <w:tcPr>
            <w:tcW w:type="dxa" w:w="900"/>
            <w:shd w:fill="1F4E79" w:val="clear"/>
            <w:tcMar>
              <w:top w:type="dxa" w:w="80"/>
              <w:left w:type="dxa" w:w="100"/>
              <w:bottom w:type="dxa" w:w="80"/>
              <w:right w:type="dxa" w:w="100"/>
            </w:tcMar>
          </w:tcPr>
          <w:p>
            <w:r>
              <w:rPr>
                <w:b/>
                <w:bCs/>
                <w:color w:val="FFFFFF"/>
                <w:sz w:val="18"/>
                <w:szCs w:val="18"/>
              </w:rPr>
              <w:t xml:space="preserve">Block</w:t>
            </w:r>
          </w:p>
        </w:tc>
        <w:tc>
          <w:tcPr>
            <w:tcW w:type="dxa" w:w="4300"/>
            <w:shd w:fill="1F4E79" w:val="clear"/>
            <w:tcMar>
              <w:top w:type="dxa" w:w="80"/>
              <w:left w:type="dxa" w:w="100"/>
              <w:bottom w:type="dxa" w:w="80"/>
              <w:right w:type="dxa" w:w="100"/>
            </w:tcMar>
          </w:tcPr>
          <w:p>
            <w:r>
              <w:rPr>
                <w:b/>
                <w:bCs/>
                <w:color w:val="FFFFFF"/>
                <w:sz w:val="18"/>
                <w:szCs w:val="18"/>
              </w:rPr>
              <w:t xml:space="preserve">Work</w:t>
            </w:r>
          </w:p>
        </w:tc>
        <w:tc>
          <w:tcPr>
            <w:tcW w:type="dxa" w:w="4160"/>
            <w:shd w:fill="1F4E79" w:val="clear"/>
            <w:tcMar>
              <w:top w:type="dxa" w:w="80"/>
              <w:left w:type="dxa" w:w="100"/>
              <w:bottom w:type="dxa" w:w="80"/>
              <w:right w:type="dxa" w:w="100"/>
            </w:tcMar>
          </w:tcPr>
          <w:p>
            <w:r>
              <w:rPr>
                <w:b/>
                <w:bCs/>
                <w:color w:val="FFFFFF"/>
                <w:sz w:val="18"/>
                <w:szCs w:val="18"/>
              </w:rPr>
              <w:t xml:space="preserve">Output</w:t>
            </w:r>
          </w:p>
        </w:tc>
      </w:tr>
      <w:tr>
        <w:tc>
          <w:tcPr>
            <w:tcW w:type="dxa" w:w="900"/>
            <w:shd w:fill="FFFFFF" w:val="clear"/>
            <w:tcMar>
              <w:top w:type="dxa" w:w="70"/>
              <w:left w:type="dxa" w:w="100"/>
              <w:bottom w:type="dxa" w:w="70"/>
              <w:right w:type="dxa" w:w="100"/>
            </w:tcMar>
          </w:tcPr>
          <w:p>
            <w:r>
              <w:rPr>
                <w:sz w:val="18"/>
                <w:szCs w:val="18"/>
              </w:rPr>
              <w:t xml:space="preserve">1</w:t>
            </w:r>
          </w:p>
        </w:tc>
        <w:tc>
          <w:tcPr>
            <w:tcW w:type="dxa" w:w="4300"/>
            <w:shd w:fill="FFFFFF" w:val="clear"/>
            <w:tcMar>
              <w:top w:type="dxa" w:w="70"/>
              <w:left w:type="dxa" w:w="100"/>
              <w:bottom w:type="dxa" w:w="70"/>
              <w:right w:type="dxa" w:w="100"/>
            </w:tcMar>
          </w:tcPr>
          <w:p>
            <w:r>
              <w:rPr>
                <w:sz w:val="18"/>
                <w:szCs w:val="18"/>
              </w:rPr>
              <w:t xml:space="preserve">Download, load, structural checks, exposure handling</w:t>
            </w:r>
          </w:p>
        </w:tc>
        <w:tc>
          <w:tcPr>
            <w:tcW w:type="dxa" w:w="4160"/>
            <w:shd w:fill="FFFFFF" w:val="clear"/>
            <w:tcMar>
              <w:top w:type="dxa" w:w="70"/>
              <w:left w:type="dxa" w:w="100"/>
              <w:bottom w:type="dxa" w:w="70"/>
              <w:right w:type="dxa" w:w="100"/>
            </w:tcMar>
          </w:tcPr>
          <w:p>
            <w:r>
              <w:rPr>
                <w:sz w:val="18"/>
                <w:szCs w:val="18"/>
              </w:rPr>
              <w:t xml:space="preserve">Clean cached parquet + data quality note</w:t>
            </w:r>
          </w:p>
        </w:tc>
      </w:tr>
      <w:tr>
        <w:tc>
          <w:tcPr>
            <w:tcW w:type="dxa" w:w="900"/>
            <w:shd w:fill="F7F9FC" w:val="clear"/>
            <w:tcMar>
              <w:top w:type="dxa" w:w="70"/>
              <w:left w:type="dxa" w:w="100"/>
              <w:bottom w:type="dxa" w:w="70"/>
              <w:right w:type="dxa" w:w="100"/>
            </w:tcMar>
          </w:tcPr>
          <w:p>
            <w:r>
              <w:rPr>
                <w:sz w:val="18"/>
                <w:szCs w:val="18"/>
              </w:rPr>
              <w:t xml:space="preserve">2</w:t>
            </w:r>
          </w:p>
        </w:tc>
        <w:tc>
          <w:tcPr>
            <w:tcW w:type="dxa" w:w="4300"/>
            <w:shd w:fill="F7F9FC" w:val="clear"/>
            <w:tcMar>
              <w:top w:type="dxa" w:w="70"/>
              <w:left w:type="dxa" w:w="100"/>
              <w:bottom w:type="dxa" w:w="70"/>
              <w:right w:type="dxa" w:w="100"/>
            </w:tcMar>
          </w:tcPr>
          <w:p>
            <w:r>
              <w:rPr>
                <w:sz w:val="18"/>
                <w:szCs w:val="18"/>
              </w:rPr>
              <w:t xml:space="preserve">Full EDA: univariate, one-way frequency, collinearity</w:t>
            </w:r>
          </w:p>
        </w:tc>
        <w:tc>
          <w:tcPr>
            <w:tcW w:type="dxa" w:w="4160"/>
            <w:shd w:fill="F7F9FC" w:val="clear"/>
            <w:tcMar>
              <w:top w:type="dxa" w:w="70"/>
              <w:left w:type="dxa" w:w="100"/>
              <w:bottom w:type="dxa" w:w="70"/>
              <w:right w:type="dxa" w:w="100"/>
            </w:tcMar>
          </w:tcPr>
          <w:p>
            <w:r>
              <w:rPr>
                <w:sz w:val="18"/>
                <w:szCs w:val="18"/>
              </w:rPr>
              <w:t xml:space="preserve">Figures + EDA section</w:t>
            </w:r>
          </w:p>
        </w:tc>
      </w:tr>
      <w:tr>
        <w:tc>
          <w:tcPr>
            <w:tcW w:type="dxa" w:w="900"/>
            <w:shd w:fill="FFFFFF" w:val="clear"/>
            <w:tcMar>
              <w:top w:type="dxa" w:w="70"/>
              <w:left w:type="dxa" w:w="100"/>
              <w:bottom w:type="dxa" w:w="70"/>
              <w:right w:type="dxa" w:w="100"/>
            </w:tcMar>
          </w:tcPr>
          <w:p>
            <w:r>
              <w:rPr>
                <w:sz w:val="18"/>
                <w:szCs w:val="18"/>
              </w:rPr>
              <w:t xml:space="preserve">3</w:t>
            </w:r>
          </w:p>
        </w:tc>
        <w:tc>
          <w:tcPr>
            <w:tcW w:type="dxa" w:w="4300"/>
            <w:shd w:fill="FFFFFF" w:val="clear"/>
            <w:tcMar>
              <w:top w:type="dxa" w:w="70"/>
              <w:left w:type="dxa" w:w="100"/>
              <w:bottom w:type="dxa" w:w="70"/>
              <w:right w:type="dxa" w:w="100"/>
            </w:tcMar>
          </w:tcPr>
          <w:p>
            <w:r>
              <w:rPr>
                <w:sz w:val="18"/>
                <w:szCs w:val="18"/>
              </w:rPr>
              <w:t xml:space="preserve">Dispersion diagnostics: ratio, score test, Pearson φ, LR test</w:t>
            </w:r>
          </w:p>
        </w:tc>
        <w:tc>
          <w:tcPr>
            <w:tcW w:type="dxa" w:w="4160"/>
            <w:shd w:fill="FFFFFF" w:val="clear"/>
            <w:tcMar>
              <w:top w:type="dxa" w:w="70"/>
              <w:left w:type="dxa" w:w="100"/>
              <w:bottom w:type="dxa" w:w="70"/>
              <w:right w:type="dxa" w:w="100"/>
            </w:tcMar>
          </w:tcPr>
          <w:p>
            <w:r>
              <w:rPr>
                <w:sz w:val="18"/>
                <w:szCs w:val="18"/>
              </w:rPr>
              <w:t xml:space="preserve">The Poisson-vs-NB decision, documented</w:t>
            </w:r>
          </w:p>
        </w:tc>
      </w:tr>
      <w:tr>
        <w:tc>
          <w:tcPr>
            <w:tcW w:type="dxa" w:w="900"/>
            <w:shd w:fill="F7F9FC" w:val="clear"/>
            <w:tcMar>
              <w:top w:type="dxa" w:w="70"/>
              <w:left w:type="dxa" w:w="100"/>
              <w:bottom w:type="dxa" w:w="70"/>
              <w:right w:type="dxa" w:w="100"/>
            </w:tcMar>
          </w:tcPr>
          <w:p>
            <w:r>
              <w:rPr>
                <w:sz w:val="18"/>
                <w:szCs w:val="18"/>
              </w:rPr>
              <w:t xml:space="preserve">4</w:t>
            </w:r>
          </w:p>
        </w:tc>
        <w:tc>
          <w:tcPr>
            <w:tcW w:type="dxa" w:w="4300"/>
            <w:shd w:fill="F7F9FC" w:val="clear"/>
            <w:tcMar>
              <w:top w:type="dxa" w:w="70"/>
              <w:left w:type="dxa" w:w="100"/>
              <w:bottom w:type="dxa" w:w="70"/>
              <w:right w:type="dxa" w:w="100"/>
            </w:tcMar>
          </w:tcPr>
          <w:p>
            <w:r>
              <w:rPr>
                <w:sz w:val="18"/>
                <w:szCs w:val="18"/>
              </w:rPr>
              <w:t xml:space="preserve">Splitting, encoding, GLM-A and GLM-B (Poisson + NB)</w:t>
            </w:r>
          </w:p>
        </w:tc>
        <w:tc>
          <w:tcPr>
            <w:tcW w:type="dxa" w:w="4160"/>
            <w:shd w:fill="F7F9FC" w:val="clear"/>
            <w:tcMar>
              <w:top w:type="dxa" w:w="70"/>
              <w:left w:type="dxa" w:w="100"/>
              <w:bottom w:type="dxa" w:w="70"/>
              <w:right w:type="dxa" w:w="100"/>
            </w:tcMar>
          </w:tcPr>
          <w:p>
            <w:r>
              <w:rPr>
                <w:sz w:val="18"/>
                <w:szCs w:val="18"/>
              </w:rPr>
              <w:t xml:space="preserve">Benchmark metric table, coefficient discussion</w:t>
            </w:r>
          </w:p>
        </w:tc>
      </w:tr>
      <w:tr>
        <w:tc>
          <w:tcPr>
            <w:tcW w:type="dxa" w:w="900"/>
            <w:shd w:fill="FFFFFF" w:val="clear"/>
            <w:tcMar>
              <w:top w:type="dxa" w:w="70"/>
              <w:left w:type="dxa" w:w="100"/>
              <w:bottom w:type="dxa" w:w="70"/>
              <w:right w:type="dxa" w:w="100"/>
            </w:tcMar>
          </w:tcPr>
          <w:p>
            <w:r>
              <w:rPr>
                <w:sz w:val="18"/>
                <w:szCs w:val="18"/>
              </w:rPr>
              <w:t xml:space="preserve">5</w:t>
            </w:r>
          </w:p>
        </w:tc>
        <w:tc>
          <w:tcPr>
            <w:tcW w:type="dxa" w:w="4300"/>
            <w:shd w:fill="FFFFFF" w:val="clear"/>
            <w:tcMar>
              <w:top w:type="dxa" w:w="70"/>
              <w:left w:type="dxa" w:w="100"/>
              <w:bottom w:type="dxa" w:w="70"/>
              <w:right w:type="dxa" w:w="100"/>
            </w:tcMar>
          </w:tcPr>
          <w:p>
            <w:r>
              <w:rPr>
                <w:sz w:val="18"/>
                <w:szCs w:val="18"/>
              </w:rPr>
              <w:t xml:space="preserve">CANN implementation, warm start, Poisson head</w:t>
            </w:r>
          </w:p>
        </w:tc>
        <w:tc>
          <w:tcPr>
            <w:tcW w:type="dxa" w:w="4160"/>
            <w:shd w:fill="FFFFFF" w:val="clear"/>
            <w:tcMar>
              <w:top w:type="dxa" w:w="70"/>
              <w:left w:type="dxa" w:w="100"/>
              <w:bottom w:type="dxa" w:w="70"/>
              <w:right w:type="dxa" w:w="100"/>
            </w:tcMar>
          </w:tcPr>
          <w:p>
            <w:r>
              <w:rPr>
                <w:sz w:val="18"/>
                <w:szCs w:val="18"/>
              </w:rPr>
              <w:t xml:space="preserve">First CANN result vs GLM</w:t>
            </w:r>
          </w:p>
        </w:tc>
      </w:tr>
      <w:tr>
        <w:tc>
          <w:tcPr>
            <w:tcW w:type="dxa" w:w="900"/>
            <w:shd w:fill="F7F9FC" w:val="clear"/>
            <w:tcMar>
              <w:top w:type="dxa" w:w="70"/>
              <w:left w:type="dxa" w:w="100"/>
              <w:bottom w:type="dxa" w:w="70"/>
              <w:right w:type="dxa" w:w="100"/>
            </w:tcMar>
          </w:tcPr>
          <w:p>
            <w:r>
              <w:rPr>
                <w:sz w:val="18"/>
                <w:szCs w:val="18"/>
              </w:rPr>
              <w:t xml:space="preserve">6</w:t>
            </w:r>
          </w:p>
        </w:tc>
        <w:tc>
          <w:tcPr>
            <w:tcW w:type="dxa" w:w="4300"/>
            <w:shd w:fill="F7F9FC" w:val="clear"/>
            <w:tcMar>
              <w:top w:type="dxa" w:w="70"/>
              <w:left w:type="dxa" w:w="100"/>
              <w:bottom w:type="dxa" w:w="70"/>
              <w:right w:type="dxa" w:w="100"/>
            </w:tcMar>
          </w:tcPr>
          <w:p>
            <w:r>
              <w:rPr>
                <w:sz w:val="18"/>
                <w:szCs w:val="18"/>
              </w:rPr>
              <w:t xml:space="preserve">NB head, dispersion parameter, multi-seed runs</w:t>
            </w:r>
          </w:p>
        </w:tc>
        <w:tc>
          <w:tcPr>
            <w:tcW w:type="dxa" w:w="4160"/>
            <w:shd w:fill="F7F9FC" w:val="clear"/>
            <w:tcMar>
              <w:top w:type="dxa" w:w="70"/>
              <w:left w:type="dxa" w:w="100"/>
              <w:bottom w:type="dxa" w:w="70"/>
              <w:right w:type="dxa" w:w="100"/>
            </w:tcMar>
          </w:tcPr>
          <w:p>
            <w:r>
              <w:rPr>
                <w:sz w:val="18"/>
                <w:szCs w:val="18"/>
              </w:rPr>
              <w:t xml:space="preserve">Full model comparison table</w:t>
            </w:r>
          </w:p>
        </w:tc>
      </w:tr>
      <w:tr>
        <w:tc>
          <w:tcPr>
            <w:tcW w:type="dxa" w:w="900"/>
            <w:shd w:fill="FFFFFF" w:val="clear"/>
            <w:tcMar>
              <w:top w:type="dxa" w:w="70"/>
              <w:left w:type="dxa" w:w="100"/>
              <w:bottom w:type="dxa" w:w="70"/>
              <w:right w:type="dxa" w:w="100"/>
            </w:tcMar>
          </w:tcPr>
          <w:p>
            <w:r>
              <w:rPr>
                <w:sz w:val="18"/>
                <w:szCs w:val="18"/>
              </w:rPr>
              <w:t xml:space="preserve">7</w:t>
            </w:r>
          </w:p>
        </w:tc>
        <w:tc>
          <w:tcPr>
            <w:tcW w:type="dxa" w:w="4300"/>
            <w:shd w:fill="FFFFFF" w:val="clear"/>
            <w:tcMar>
              <w:top w:type="dxa" w:w="70"/>
              <w:left w:type="dxa" w:w="100"/>
              <w:bottom w:type="dxa" w:w="70"/>
              <w:right w:type="dxa" w:w="100"/>
            </w:tcMar>
          </w:tcPr>
          <w:p>
            <w:r>
              <w:rPr>
                <w:sz w:val="18"/>
                <w:szCs w:val="18"/>
              </w:rPr>
              <w:t xml:space="preserve">Evaluation: deviance, lift, Gini, calibration</w:t>
            </w:r>
          </w:p>
        </w:tc>
        <w:tc>
          <w:tcPr>
            <w:tcW w:type="dxa" w:w="4160"/>
            <w:shd w:fill="FFFFFF" w:val="clear"/>
            <w:tcMar>
              <w:top w:type="dxa" w:w="70"/>
              <w:left w:type="dxa" w:w="100"/>
              <w:bottom w:type="dxa" w:w="70"/>
              <w:right w:type="dxa" w:w="100"/>
            </w:tcMar>
          </w:tcPr>
          <w:p>
            <w:r>
              <w:rPr>
                <w:sz w:val="18"/>
                <w:szCs w:val="18"/>
              </w:rPr>
              <w:t xml:space="preserve">Results section</w:t>
            </w:r>
          </w:p>
        </w:tc>
      </w:tr>
      <w:tr>
        <w:tc>
          <w:tcPr>
            <w:tcW w:type="dxa" w:w="900"/>
            <w:shd w:fill="F7F9FC" w:val="clear"/>
            <w:tcMar>
              <w:top w:type="dxa" w:w="70"/>
              <w:left w:type="dxa" w:w="100"/>
              <w:bottom w:type="dxa" w:w="70"/>
              <w:right w:type="dxa" w:w="100"/>
            </w:tcMar>
          </w:tcPr>
          <w:p>
            <w:r>
              <w:rPr>
                <w:sz w:val="18"/>
                <w:szCs w:val="18"/>
              </w:rPr>
              <w:t xml:space="preserve">8</w:t>
            </w:r>
          </w:p>
        </w:tc>
        <w:tc>
          <w:tcPr>
            <w:tcW w:type="dxa" w:w="4300"/>
            <w:shd w:fill="F7F9FC" w:val="clear"/>
            <w:tcMar>
              <w:top w:type="dxa" w:w="70"/>
              <w:left w:type="dxa" w:w="100"/>
              <w:bottom w:type="dxa" w:w="70"/>
              <w:right w:type="dxa" w:w="100"/>
            </w:tcMar>
          </w:tcPr>
          <w:p>
            <w:r>
              <w:rPr>
                <w:sz w:val="18"/>
                <w:szCs w:val="18"/>
              </w:rPr>
              <w:t xml:space="preserve">Interpretation: permutation importance, PDPs</w:t>
            </w:r>
          </w:p>
        </w:tc>
        <w:tc>
          <w:tcPr>
            <w:tcW w:type="dxa" w:w="4160"/>
            <w:shd w:fill="F7F9FC" w:val="clear"/>
            <w:tcMar>
              <w:top w:type="dxa" w:w="70"/>
              <w:left w:type="dxa" w:w="100"/>
              <w:bottom w:type="dxa" w:w="70"/>
              <w:right w:type="dxa" w:w="100"/>
            </w:tcMar>
          </w:tcPr>
          <w:p>
            <w:r>
              <w:rPr>
                <w:sz w:val="18"/>
                <w:szCs w:val="18"/>
              </w:rPr>
              <w:t xml:space="preserve">Interpretability section</w:t>
            </w:r>
          </w:p>
        </w:tc>
      </w:tr>
      <w:tr>
        <w:tc>
          <w:tcPr>
            <w:tcW w:type="dxa" w:w="900"/>
            <w:shd w:fill="FFFFFF" w:val="clear"/>
            <w:tcMar>
              <w:top w:type="dxa" w:w="70"/>
              <w:left w:type="dxa" w:w="100"/>
              <w:bottom w:type="dxa" w:w="70"/>
              <w:right w:type="dxa" w:w="100"/>
            </w:tcMar>
          </w:tcPr>
          <w:p>
            <w:r>
              <w:rPr>
                <w:sz w:val="18"/>
                <w:szCs w:val="18"/>
              </w:rPr>
              <w:t xml:space="preserve">9</w:t>
            </w:r>
          </w:p>
        </w:tc>
        <w:tc>
          <w:tcPr>
            <w:tcW w:type="dxa" w:w="4300"/>
            <w:shd w:fill="FFFFFF" w:val="clear"/>
            <w:tcMar>
              <w:top w:type="dxa" w:w="70"/>
              <w:left w:type="dxa" w:w="100"/>
              <w:bottom w:type="dxa" w:w="70"/>
              <w:right w:type="dxa" w:w="100"/>
            </w:tcMar>
          </w:tcPr>
          <w:p>
            <w:r>
              <w:rPr>
                <w:sz w:val="18"/>
                <w:szCs w:val="18"/>
              </w:rPr>
              <w:t xml:space="preserve">Multi-seed stability runs + scope-boundary write-up</w:t>
            </w:r>
          </w:p>
        </w:tc>
        <w:tc>
          <w:tcPr>
            <w:tcW w:type="dxa" w:w="4160"/>
            <w:shd w:fill="FFFFFF" w:val="clear"/>
            <w:tcMar>
              <w:top w:type="dxa" w:w="70"/>
              <w:left w:type="dxa" w:w="100"/>
              <w:bottom w:type="dxa" w:w="70"/>
              <w:right w:type="dxa" w:w="100"/>
            </w:tcMar>
          </w:tcPr>
          <w:p>
            <w:r>
              <w:rPr>
                <w:sz w:val="18"/>
                <w:szCs w:val="18"/>
              </w:rPr>
              <w:t xml:space="preserve">Stability table + §9.4 section</w:t>
            </w:r>
          </w:p>
        </w:tc>
      </w:tr>
      <w:tr>
        <w:tc>
          <w:tcPr>
            <w:tcW w:type="dxa" w:w="900"/>
            <w:shd w:fill="F7F9FC" w:val="clear"/>
            <w:tcMar>
              <w:top w:type="dxa" w:w="70"/>
              <w:left w:type="dxa" w:w="100"/>
              <w:bottom w:type="dxa" w:w="70"/>
              <w:right w:type="dxa" w:w="100"/>
            </w:tcMar>
          </w:tcPr>
          <w:p>
            <w:r>
              <w:rPr>
                <w:sz w:val="18"/>
                <w:szCs w:val="18"/>
              </w:rPr>
              <w:t xml:space="preserve">10</w:t>
            </w:r>
          </w:p>
        </w:tc>
        <w:tc>
          <w:tcPr>
            <w:tcW w:type="dxa" w:w="4300"/>
            <w:shd w:fill="F7F9FC" w:val="clear"/>
            <w:tcMar>
              <w:top w:type="dxa" w:w="70"/>
              <w:left w:type="dxa" w:w="100"/>
              <w:bottom w:type="dxa" w:w="70"/>
              <w:right w:type="dxa" w:w="100"/>
            </w:tcMar>
          </w:tcPr>
          <w:p>
            <w:r>
              <w:rPr>
                <w:sz w:val="18"/>
                <w:szCs w:val="18"/>
              </w:rPr>
              <w:t xml:space="preserve">Write-up, README, repo tidy</w:t>
            </w:r>
          </w:p>
        </w:tc>
        <w:tc>
          <w:tcPr>
            <w:tcW w:type="dxa" w:w="4160"/>
            <w:shd w:fill="F7F9FC" w:val="clear"/>
            <w:tcMar>
              <w:top w:type="dxa" w:w="70"/>
              <w:left w:type="dxa" w:w="100"/>
              <w:bottom w:type="dxa" w:w="70"/>
              <w:right w:type="dxa" w:w="100"/>
            </w:tcMar>
          </w:tcPr>
          <w:p>
            <w:r>
              <w:rPr>
                <w:sz w:val="18"/>
                <w:szCs w:val="18"/>
              </w:rPr>
              <w:t xml:space="preserve">Portfolio-ready project</w:t>
            </w:r>
          </w:p>
        </w:tc>
      </w:tr>
    </w:tbl>
    <w:p>
      <w:pPr>
        <w:pStyle w:val="Heading1"/>
        <w:spacing w:after="160" w:before="360"/>
      </w:pPr>
      <w:r>
        <w:t xml:space="preserve">12. References</w:t>
      </w:r>
    </w:p>
    <w:p>
      <w:pPr>
        <w:pStyle w:val="ListParagraph"/>
        <w:numPr>
          <w:ilvl w:val="0"/>
          <w:numId w:val="2"/>
        </w:numPr>
        <w:spacing w:after="60"/>
      </w:pPr>
      <w:r>
        <w:t xml:space="preserve">Duval, F., Boucher, J.-P. &amp; Pigeon, M. (2024). Telematics Combined Actuarial Neural Networks for Cross-Sectional and Longitudinal Claim Count Data. ASTIN Bulletin 54(2), 239–262. Preprint: arXiv:2308.01729.</w:t>
      </w:r>
    </w:p>
    <w:p>
      <w:pPr>
        <w:pStyle w:val="ListParagraph"/>
        <w:numPr>
          <w:ilvl w:val="0"/>
          <w:numId w:val="2"/>
        </w:numPr>
        <w:spacing w:after="60"/>
      </w:pPr>
      <w:r>
        <w:t xml:space="preserve">So, B., Boucher, J.-P. &amp; Valdez, E. A. (2021). Synthetic Dataset Generation of Driver Telematics. Risks 9(4), 58. Preprint: arXiv:2102.00252.</w:t>
      </w:r>
    </w:p>
    <w:p>
      <w:pPr>
        <w:pStyle w:val="ListParagraph"/>
        <w:numPr>
          <w:ilvl w:val="0"/>
          <w:numId w:val="2"/>
        </w:numPr>
        <w:spacing w:after="60"/>
      </w:pPr>
      <w:r>
        <w:t xml:space="preserve">Wüthrich, M. V. &amp; Merz, M. (2019). Editorial: Yes, we CANN! ASTIN Bulletin 49(1), 1–3.</w:t>
      </w:r>
    </w:p>
    <w:p>
      <w:pPr>
        <w:pStyle w:val="ListParagraph"/>
        <w:numPr>
          <w:ilvl w:val="0"/>
          <w:numId w:val="2"/>
        </w:numPr>
        <w:spacing w:after="60"/>
      </w:pPr>
      <w:r>
        <w:t xml:space="preserve">Schelldorfer, J. &amp; Wüthrich, M. V. (2019). Nesting Classical Actuarial Models into Neural Networks. SSRN.</w:t>
      </w:r>
    </w:p>
    <w:p>
      <w:pPr>
        <w:pStyle w:val="ListParagraph"/>
        <w:numPr>
          <w:ilvl w:val="0"/>
          <w:numId w:val="2"/>
        </w:numPr>
        <w:spacing w:after="60"/>
      </w:pPr>
      <w:r>
        <w:t xml:space="preserve">Boucher, J.-P., Denuit, M. &amp; Guillén, M. (2008). Models of insurance claim counts with time dependence based on generalised Poisson laws. Journal of Risk and Insurance.</w:t>
      </w:r>
    </w:p>
    <w:p>
      <w:pPr>
        <w:pStyle w:val="ListParagraph"/>
        <w:numPr>
          <w:ilvl w:val="0"/>
          <w:numId w:val="2"/>
        </w:numPr>
        <w:spacing w:after="60"/>
      </w:pPr>
      <w:r>
        <w:t xml:space="preserve">Hausman, J., Hall, B. &amp; Griliches, Z. (1984). Econometric models for count data with an application to the patents–R&amp;D relationship. Econometrica.</w:t>
      </w:r>
    </w:p>
    <w:p>
      <w:pPr>
        <w:pStyle w:val="ListParagraph"/>
        <w:numPr>
          <w:ilvl w:val="0"/>
          <w:numId w:val="2"/>
        </w:numPr>
        <w:spacing w:after="60"/>
      </w:pPr>
      <w:r>
        <w:t xml:space="preserve">Cameron, A. C. &amp; Trivedi, P. K. (2013). Regression Analysis of Count Data, 2nd ed. Cambridge University Press.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2E74B5"/>
      <w:sz w:val="25"/>
      <w:szCs w:val="25"/>
    </w:rPr>
  </w:style>
  <w:style w:type="paragraph" w:styleId="Heading3">
    <w:name w:val="Heading 3"/>
    <w:basedOn w:val="Normal"/>
    <w:next w:val="Normal"/>
    <w:qFormat/>
    <w:rPr>
      <w:rFonts w:ascii="Calibri" w:cs="Calibri" w:eastAsia="Calibri" w:hAnsi="Calibri"/>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2026-07-29T13:05:11.055Z</dcterms:created>
  <dcterms:modified xsi:type="dcterms:W3CDTF">2026-07-29T13:05:11.055Z</dcterms:modified>
</cp:coreProperties>
</file>

<file path=docProps/custom.xml><?xml version="1.0" encoding="utf-8"?>
<Properties xmlns="http://schemas.openxmlformats.org/officeDocument/2006/custom-properties" xmlns:vt="http://schemas.openxmlformats.org/officeDocument/2006/docPropsVTypes"/>
</file>