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184E1" w14:textId="77777777" w:rsidR="00A31B4C" w:rsidRPr="001A723A" w:rsidRDefault="00A31B4C" w:rsidP="001A723A">
      <w:pPr>
        <w:spacing w:after="0" w:line="240" w:lineRule="auto"/>
        <w:jc w:val="center"/>
        <w:rPr>
          <w:b/>
          <w:color w:val="4472C4" w:themeColor="accent5"/>
          <w:sz w:val="28"/>
          <w:szCs w:val="32"/>
        </w:rPr>
      </w:pPr>
      <w:r w:rsidRPr="001A723A">
        <w:rPr>
          <w:b/>
          <w:color w:val="4472C4" w:themeColor="accent5"/>
          <w:sz w:val="28"/>
          <w:szCs w:val="32"/>
        </w:rPr>
        <w:t>Extended Abstract Template (Second Round)</w:t>
      </w:r>
    </w:p>
    <w:p w14:paraId="05D3AC8B" w14:textId="77777777" w:rsidR="001A723A" w:rsidRDefault="00CF1A53" w:rsidP="001A723A">
      <w:pPr>
        <w:spacing w:after="0" w:line="240" w:lineRule="auto"/>
        <w:jc w:val="center"/>
        <w:textAlignment w:val="baseline"/>
        <w:rPr>
          <w:rFonts w:ascii="Times New Roman" w:hAnsi="Times New Roman" w:cs="Times New Roman"/>
          <w:b/>
          <w:color w:val="FF0000"/>
          <w:sz w:val="24"/>
          <w:szCs w:val="20"/>
        </w:rPr>
      </w:pPr>
      <w:r>
        <w:rPr>
          <w:rFonts w:ascii="Times New Roman" w:hAnsi="Times New Roman" w:cs="Times New Roman"/>
          <w:b/>
          <w:color w:val="FF0000"/>
          <w:sz w:val="24"/>
          <w:szCs w:val="20"/>
        </w:rPr>
        <w:t>Please indicate</w:t>
      </w:r>
      <w:r w:rsidR="00A31B4C" w:rsidRPr="001A723A">
        <w:rPr>
          <w:rFonts w:ascii="Times New Roman" w:hAnsi="Times New Roman" w:cs="Times New Roman"/>
          <w:b/>
          <w:color w:val="FF0000"/>
          <w:sz w:val="24"/>
          <w:szCs w:val="20"/>
        </w:rPr>
        <w:t xml:space="preserve"> </w:t>
      </w:r>
      <w:r w:rsidR="001A723A">
        <w:rPr>
          <w:rFonts w:ascii="Times New Roman" w:hAnsi="Times New Roman" w:cs="Times New Roman"/>
          <w:b/>
          <w:color w:val="FF0000"/>
          <w:sz w:val="24"/>
          <w:szCs w:val="20"/>
          <w:u w:val="single"/>
        </w:rPr>
        <w:t xml:space="preserve">ONLY ONE </w:t>
      </w:r>
      <w:r w:rsidR="00A31B4C" w:rsidRPr="001A723A">
        <w:rPr>
          <w:rFonts w:ascii="Times New Roman" w:hAnsi="Times New Roman" w:cs="Times New Roman"/>
          <w:b/>
          <w:color w:val="FF0000"/>
          <w:sz w:val="24"/>
          <w:szCs w:val="20"/>
        </w:rPr>
        <w:t xml:space="preserve">of the </w:t>
      </w:r>
      <w:r w:rsidR="001A723A">
        <w:rPr>
          <w:rFonts w:ascii="Times New Roman" w:hAnsi="Times New Roman" w:cs="Times New Roman"/>
          <w:b/>
          <w:color w:val="FF0000"/>
          <w:sz w:val="24"/>
          <w:szCs w:val="20"/>
        </w:rPr>
        <w:t>Session Topic</w:t>
      </w:r>
      <w:r w:rsidR="00A31B4C" w:rsidRPr="001A723A">
        <w:rPr>
          <w:rFonts w:ascii="Times New Roman" w:hAnsi="Times New Roman" w:cs="Times New Roman"/>
          <w:b/>
          <w:color w:val="FF0000"/>
          <w:sz w:val="24"/>
          <w:szCs w:val="20"/>
        </w:rPr>
        <w:t xml:space="preserve"> themes</w:t>
      </w:r>
      <w:r w:rsidR="001A723A" w:rsidRPr="001A723A">
        <w:rPr>
          <w:rFonts w:ascii="Times New Roman" w:hAnsi="Times New Roman" w:cs="Times New Roman"/>
          <w:b/>
          <w:color w:val="FF0000"/>
          <w:sz w:val="24"/>
          <w:szCs w:val="20"/>
        </w:rPr>
        <w:t xml:space="preserve"> to which you wish to submit your paper for consideration</w:t>
      </w:r>
      <w:r w:rsidR="001A723A">
        <w:rPr>
          <w:rFonts w:ascii="Times New Roman" w:hAnsi="Times New Roman" w:cs="Times New Roman"/>
          <w:b/>
          <w:color w:val="FF0000"/>
          <w:sz w:val="24"/>
          <w:szCs w:val="20"/>
        </w:rPr>
        <w:t xml:space="preserve"> by TICKING the BOX in front of the session title. </w:t>
      </w:r>
    </w:p>
    <w:p w14:paraId="248F0D31" w14:textId="77777777" w:rsidR="001A723A" w:rsidRDefault="001A723A" w:rsidP="001A723A">
      <w:pPr>
        <w:spacing w:after="0" w:line="240" w:lineRule="auto"/>
        <w:jc w:val="center"/>
        <w:textAlignment w:val="baseline"/>
        <w:rPr>
          <w:rFonts w:ascii="Times New Roman" w:hAnsi="Times New Roman" w:cs="Times New Roman"/>
          <w:b/>
          <w:color w:val="FF0000"/>
          <w:sz w:val="24"/>
          <w:szCs w:val="20"/>
        </w:rPr>
      </w:pPr>
      <w:r>
        <w:rPr>
          <w:rFonts w:ascii="Times New Roman" w:hAnsi="Times New Roman" w:cs="Times New Roman"/>
          <w:b/>
          <w:color w:val="FF0000"/>
          <w:sz w:val="24"/>
          <w:szCs w:val="20"/>
        </w:rPr>
        <w:t xml:space="preserve">Sessions are sub-divided by Core Thematic Area. </w:t>
      </w:r>
    </w:p>
    <w:p w14:paraId="1EF9C939" w14:textId="77777777" w:rsidR="001A723A" w:rsidRPr="001A723A" w:rsidRDefault="001A723A" w:rsidP="001A723A">
      <w:pPr>
        <w:spacing w:after="0" w:line="240" w:lineRule="auto"/>
        <w:jc w:val="center"/>
        <w:textAlignment w:val="baseline"/>
        <w:rPr>
          <w:rFonts w:ascii="Times New Roman" w:hAnsi="Times New Roman" w:cs="Times New Roman"/>
          <w:b/>
          <w:color w:val="FF0000"/>
          <w:sz w:val="24"/>
          <w:szCs w:val="20"/>
        </w:rPr>
      </w:pPr>
    </w:p>
    <w:p w14:paraId="6FA960ED" w14:textId="77777777" w:rsidR="00A31B4C" w:rsidRPr="00A31B4C" w:rsidRDefault="00A31B4C" w:rsidP="00A31B4C">
      <w:pPr>
        <w:spacing w:after="0" w:line="240" w:lineRule="auto"/>
        <w:jc w:val="both"/>
        <w:rPr>
          <w:rStyle w:val="Strong"/>
          <w:color w:val="4472C4" w:themeColor="accent5"/>
          <w:szCs w:val="21"/>
        </w:rPr>
      </w:pPr>
      <w:r w:rsidRPr="00A31B4C">
        <w:rPr>
          <w:rStyle w:val="Strong"/>
          <w:color w:val="4472C4" w:themeColor="accent5"/>
          <w:szCs w:val="21"/>
        </w:rPr>
        <w:t xml:space="preserve">1. Technologies for Humanitarian Action </w:t>
      </w:r>
    </w:p>
    <w:p w14:paraId="4FF86067" w14:textId="77777777" w:rsidR="00A31B4C" w:rsidRPr="00A31B4C" w:rsidRDefault="00D82567"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775940383"/>
          <w14:checkbox>
            <w14:checked w14:val="0"/>
            <w14:checkedState w14:val="2612" w14:font="MS Gothic"/>
            <w14:uncheckedState w14:val="2610" w14:font="MS Gothic"/>
          </w14:checkbox>
        </w:sdtPr>
        <w:sdtEndPr/>
        <w:sdtContent>
          <w:r>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Data science and machine learning for development and humanitarian action</w:t>
      </w:r>
    </w:p>
    <w:p w14:paraId="06973673" w14:textId="77777777" w:rsidR="001A723A" w:rsidRPr="001A723A" w:rsidRDefault="001A723A" w:rsidP="001A723A">
      <w:pPr>
        <w:spacing w:after="0" w:line="240" w:lineRule="auto"/>
        <w:jc w:val="both"/>
        <w:rPr>
          <w:rStyle w:val="Strong"/>
          <w:color w:val="4472C4" w:themeColor="accent5"/>
        </w:rPr>
      </w:pPr>
    </w:p>
    <w:p w14:paraId="721083E2" w14:textId="77777777" w:rsidR="00A31B4C" w:rsidRPr="00A31B4C" w:rsidRDefault="00A31B4C" w:rsidP="00A31B4C">
      <w:pPr>
        <w:spacing w:after="0" w:line="240" w:lineRule="auto"/>
        <w:jc w:val="both"/>
        <w:rPr>
          <w:rStyle w:val="Strong"/>
          <w:color w:val="4472C4" w:themeColor="accent5"/>
          <w:szCs w:val="21"/>
        </w:rPr>
      </w:pPr>
      <w:r w:rsidRPr="00A31B4C">
        <w:rPr>
          <w:rStyle w:val="Strong"/>
          <w:color w:val="4472C4" w:themeColor="accent5"/>
          <w:szCs w:val="21"/>
        </w:rPr>
        <w:t>2. Medical Technologies</w:t>
      </w:r>
    </w:p>
    <w:p w14:paraId="7EA07873" w14:textId="77777777" w:rsidR="00A31B4C" w:rsidRPr="00A31B4C" w:rsidRDefault="00D82567"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53609587"/>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Technologies for Non-Communicable Diseases in Developing Countries</w:t>
      </w:r>
    </w:p>
    <w:p w14:paraId="6D39BDA6" w14:textId="77777777" w:rsidR="00A31B4C" w:rsidRPr="00A31B4C" w:rsidRDefault="00D82567"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601449651"/>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Technologies for mother and child health </w:t>
      </w:r>
    </w:p>
    <w:p w14:paraId="5B2D7C78" w14:textId="77777777" w:rsidR="00A31B4C" w:rsidRPr="00A31B4C" w:rsidRDefault="00A31B4C" w:rsidP="00A31B4C">
      <w:pPr>
        <w:spacing w:after="0" w:line="240" w:lineRule="auto"/>
        <w:jc w:val="both"/>
        <w:rPr>
          <w:rStyle w:val="Strong"/>
          <w:color w:val="4472C4" w:themeColor="accent5"/>
          <w:sz w:val="21"/>
          <w:szCs w:val="21"/>
        </w:rPr>
      </w:pPr>
    </w:p>
    <w:p w14:paraId="7B0CE879" w14:textId="77777777" w:rsidR="001A723A" w:rsidRDefault="00A31B4C" w:rsidP="00A31B4C">
      <w:pPr>
        <w:spacing w:after="0" w:line="240" w:lineRule="auto"/>
        <w:jc w:val="both"/>
        <w:textAlignment w:val="baseline"/>
        <w:rPr>
          <w:rStyle w:val="Strong"/>
          <w:color w:val="4472C4" w:themeColor="accent5"/>
          <w:szCs w:val="21"/>
        </w:rPr>
      </w:pPr>
      <w:r w:rsidRPr="00A31B4C">
        <w:rPr>
          <w:rStyle w:val="Strong"/>
          <w:color w:val="4472C4" w:themeColor="accent5"/>
          <w:szCs w:val="21"/>
        </w:rPr>
        <w:t>3. Science and Technology for Disaster Risk Reduction</w:t>
      </w:r>
    </w:p>
    <w:p w14:paraId="393F64D7" w14:textId="77777777" w:rsidR="00A31B4C" w:rsidRPr="001A723A" w:rsidRDefault="00D82567" w:rsidP="00A31B4C">
      <w:pPr>
        <w:spacing w:after="0" w:line="240" w:lineRule="auto"/>
        <w:jc w:val="both"/>
        <w:textAlignment w:val="baseline"/>
        <w:rPr>
          <w:b/>
          <w:bCs/>
          <w:color w:val="4472C4" w:themeColor="accent5"/>
          <w:szCs w:val="21"/>
        </w:rPr>
      </w:pPr>
      <w:sdt>
        <w:sdtPr>
          <w:rPr>
            <w:rFonts w:ascii="Times New Roman" w:hAnsi="Times New Roman" w:cs="Times New Roman"/>
            <w:color w:val="4472C4" w:themeColor="accent5"/>
            <w:sz w:val="20"/>
            <w:szCs w:val="20"/>
          </w:rPr>
          <w:id w:val="-481155224"/>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Disaster Risk Reduction: the Elusiveness of Resilience</w:t>
      </w:r>
    </w:p>
    <w:p w14:paraId="500C61BF" w14:textId="77777777" w:rsidR="001A723A" w:rsidRPr="00A31B4C" w:rsidRDefault="00D82567"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506519116"/>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People-centered Early Warning Systems for Natural Hazards</w:t>
      </w:r>
    </w:p>
    <w:p w14:paraId="060ECDD5" w14:textId="77777777" w:rsidR="001A723A" w:rsidRPr="00A31B4C" w:rsidRDefault="00D82567"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290192788"/>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High-Tech and/or Low-Tech for DRR in the Global South. What works, what doesn’t?</w:t>
      </w:r>
    </w:p>
    <w:p w14:paraId="00FB1802" w14:textId="77777777" w:rsidR="001A723A" w:rsidRPr="00A31B4C" w:rsidRDefault="00D82567"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05498032"/>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Low-cost ICTs for flood and drought risk management and development</w:t>
      </w:r>
    </w:p>
    <w:p w14:paraId="3BD4BDF9" w14:textId="77777777" w:rsidR="001A723A" w:rsidRPr="00A31B4C" w:rsidRDefault="00D82567"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604002201"/>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Adapted Technologies for Early Warning Systems: Playing with Uncertainty</w:t>
      </w:r>
    </w:p>
    <w:p w14:paraId="6B88CA9A" w14:textId="77777777" w:rsidR="00A31B4C" w:rsidRPr="00A31B4C" w:rsidRDefault="00A31B4C" w:rsidP="00A31B4C">
      <w:pPr>
        <w:spacing w:after="0" w:line="240" w:lineRule="auto"/>
        <w:jc w:val="both"/>
        <w:rPr>
          <w:rStyle w:val="Strong"/>
          <w:color w:val="4472C4" w:themeColor="accent5"/>
        </w:rPr>
      </w:pPr>
    </w:p>
    <w:p w14:paraId="79D176BE" w14:textId="77777777" w:rsidR="00A31B4C" w:rsidRPr="00A31B4C" w:rsidRDefault="00A31B4C" w:rsidP="00A31B4C">
      <w:pPr>
        <w:spacing w:after="0" w:line="240" w:lineRule="auto"/>
        <w:jc w:val="both"/>
        <w:textAlignment w:val="baseline"/>
        <w:rPr>
          <w:rFonts w:ascii="Times New Roman" w:hAnsi="Times New Roman" w:cs="Times New Roman"/>
          <w:color w:val="4472C4" w:themeColor="accent5"/>
          <w:sz w:val="20"/>
          <w:szCs w:val="20"/>
        </w:rPr>
      </w:pPr>
      <w:r w:rsidRPr="00A31B4C">
        <w:rPr>
          <w:rStyle w:val="Strong"/>
          <w:color w:val="4472C4" w:themeColor="accent5"/>
        </w:rPr>
        <w:t>4. Technologies for Sustainable Access to Energy</w:t>
      </w:r>
      <w:r w:rsidRPr="00A31B4C">
        <w:rPr>
          <w:rFonts w:ascii="Times New Roman" w:hAnsi="Times New Roman" w:cs="Times New Roman"/>
          <w:color w:val="4472C4" w:themeColor="accent5"/>
          <w:sz w:val="20"/>
          <w:szCs w:val="20"/>
        </w:rPr>
        <w:t xml:space="preserve"> </w:t>
      </w:r>
    </w:p>
    <w:p w14:paraId="73C56084" w14:textId="77777777" w:rsidR="00A31B4C" w:rsidRPr="00A31B4C" w:rsidRDefault="00D82567"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755641155"/>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Access to energy for all: measuring impact beyond kWh</w:t>
      </w:r>
    </w:p>
    <w:p w14:paraId="76148DC7" w14:textId="77777777" w:rsidR="001A723A" w:rsidRPr="00A31B4C" w:rsidRDefault="00D82567"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055739253"/>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Collaborating for Cleaner Technologies and Transitioning to Sustainable Energy Access</w:t>
      </w:r>
    </w:p>
    <w:p w14:paraId="0D9005CE" w14:textId="77777777" w:rsidR="001A723A" w:rsidRPr="00A31B4C" w:rsidRDefault="00D82567"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869055728"/>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How can clean energy-based innovations boost incomes in Global South?</w:t>
      </w:r>
    </w:p>
    <w:p w14:paraId="693B62B6" w14:textId="77777777" w:rsidR="001A723A" w:rsidRPr="00A31B4C" w:rsidRDefault="00D82567"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374934291"/>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 xml:space="preserve">Gender </w:t>
      </w:r>
      <w:proofErr w:type="gramStart"/>
      <w:r w:rsidR="001A723A" w:rsidRPr="008B7B81">
        <w:rPr>
          <w:rFonts w:ascii="Times New Roman" w:hAnsi="Times New Roman" w:cs="Times New Roman"/>
          <w:color w:val="4472C4" w:themeColor="accent5"/>
          <w:sz w:val="20"/>
          <w:szCs w:val="20"/>
        </w:rPr>
        <w:t>And</w:t>
      </w:r>
      <w:proofErr w:type="gramEnd"/>
      <w:r w:rsidR="001A723A" w:rsidRPr="008B7B81">
        <w:rPr>
          <w:rFonts w:ascii="Times New Roman" w:hAnsi="Times New Roman" w:cs="Times New Roman"/>
          <w:color w:val="4472C4" w:themeColor="accent5"/>
          <w:sz w:val="20"/>
          <w:szCs w:val="20"/>
        </w:rPr>
        <w:t xml:space="preserve"> Renewable Energy Rural Electr</w:t>
      </w:r>
      <w:r w:rsidR="001A723A">
        <w:rPr>
          <w:rFonts w:ascii="Times New Roman" w:hAnsi="Times New Roman" w:cs="Times New Roman"/>
          <w:color w:val="4472C4" w:themeColor="accent5"/>
          <w:sz w:val="20"/>
          <w:szCs w:val="20"/>
        </w:rPr>
        <w:t>ification Programs</w:t>
      </w:r>
    </w:p>
    <w:p w14:paraId="2646C6C5" w14:textId="77777777" w:rsidR="00A31B4C" w:rsidRPr="00A31B4C" w:rsidRDefault="00A31B4C" w:rsidP="00A31B4C">
      <w:pPr>
        <w:spacing w:after="0" w:line="240" w:lineRule="auto"/>
        <w:jc w:val="both"/>
        <w:textAlignment w:val="baseline"/>
        <w:rPr>
          <w:rStyle w:val="Strong"/>
          <w:rFonts w:ascii="Times New Roman" w:hAnsi="Times New Roman" w:cs="Times New Roman"/>
          <w:b w:val="0"/>
          <w:bCs w:val="0"/>
          <w:color w:val="4472C4" w:themeColor="accent5"/>
          <w:sz w:val="20"/>
          <w:szCs w:val="20"/>
        </w:rPr>
      </w:pPr>
    </w:p>
    <w:p w14:paraId="04444791" w14:textId="77777777" w:rsidR="00A31B4C" w:rsidRPr="00A31B4C" w:rsidRDefault="00A31B4C" w:rsidP="00A31B4C">
      <w:pPr>
        <w:spacing w:after="0" w:line="240" w:lineRule="auto"/>
        <w:jc w:val="both"/>
        <w:rPr>
          <w:b/>
          <w:bCs/>
          <w:color w:val="4472C4" w:themeColor="accent5"/>
        </w:rPr>
      </w:pPr>
      <w:r w:rsidRPr="00A31B4C">
        <w:rPr>
          <w:rStyle w:val="Strong"/>
          <w:color w:val="4472C4" w:themeColor="accent5"/>
        </w:rPr>
        <w:t>5. Information and Communication Technologies for Development</w:t>
      </w:r>
      <w:r w:rsidRPr="00A31B4C">
        <w:rPr>
          <w:rFonts w:ascii="Times New Roman" w:hAnsi="Times New Roman" w:cs="Times New Roman"/>
          <w:color w:val="4472C4" w:themeColor="accent5"/>
          <w:sz w:val="20"/>
          <w:szCs w:val="20"/>
        </w:rPr>
        <w:t xml:space="preserve"> </w:t>
      </w:r>
    </w:p>
    <w:p w14:paraId="4A7A2A8A" w14:textId="77777777" w:rsidR="00A31B4C" w:rsidRPr="00A31B4C" w:rsidRDefault="00D82567"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MS Gothic" w:eastAsia="MS Gothic" w:hAnsi="MS Gothic" w:cs="Times New Roman"/>
            <w:color w:val="4472C4" w:themeColor="accent5"/>
            <w:sz w:val="20"/>
            <w:szCs w:val="20"/>
          </w:rPr>
          <w:id w:val="-1221356786"/>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ICTs for Environment: challenges and opportunities of transdisciplinary research for development </w:t>
      </w:r>
    </w:p>
    <w:p w14:paraId="4BBED80F" w14:textId="77777777" w:rsidR="00A31B4C" w:rsidRPr="00A31B4C" w:rsidRDefault="00D82567"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479112568"/>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Can MOOCs and OER transform Higher Education in the developing world?</w:t>
      </w:r>
    </w:p>
    <w:p w14:paraId="73738ED0" w14:textId="77777777" w:rsidR="00C86E78" w:rsidRPr="00A31B4C" w:rsidRDefault="00D82567" w:rsidP="00C86E78">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344750467"/>
          <w14:checkbox>
            <w14:checked w14:val="0"/>
            <w14:checkedState w14:val="2612" w14:font="MS Gothic"/>
            <w14:uncheckedState w14:val="2610" w14:font="MS Gothic"/>
          </w14:checkbox>
        </w:sdtPr>
        <w:sdtEndPr/>
        <w:sdtContent>
          <w:r w:rsidR="00C86E78">
            <w:rPr>
              <w:rFonts w:ascii="MS Gothic" w:eastAsia="MS Gothic" w:hAnsi="MS Gothic" w:cs="Times New Roman" w:hint="eastAsia"/>
              <w:color w:val="4472C4" w:themeColor="accent5"/>
              <w:sz w:val="20"/>
              <w:szCs w:val="20"/>
            </w:rPr>
            <w:t>☐</w:t>
          </w:r>
        </w:sdtContent>
      </w:sdt>
      <w:r w:rsidR="00C86E78">
        <w:rPr>
          <w:rFonts w:ascii="Times New Roman" w:hAnsi="Times New Roman" w:cs="Times New Roman"/>
          <w:color w:val="4472C4" w:themeColor="accent5"/>
          <w:sz w:val="20"/>
          <w:szCs w:val="20"/>
        </w:rPr>
        <w:t xml:space="preserve"> </w:t>
      </w:r>
      <w:r w:rsidR="00C86E78" w:rsidRPr="008B7B81">
        <w:rPr>
          <w:rFonts w:ascii="Times New Roman" w:hAnsi="Times New Roman" w:cs="Times New Roman"/>
          <w:color w:val="4472C4" w:themeColor="accent5"/>
          <w:sz w:val="20"/>
          <w:szCs w:val="20"/>
        </w:rPr>
        <w:t>Connecting Research to Practice: ICT4D Project Results Follow-Up</w:t>
      </w:r>
    </w:p>
    <w:p w14:paraId="333AB9D3" w14:textId="77777777" w:rsidR="00C86E78" w:rsidRPr="00A31B4C" w:rsidRDefault="00D82567" w:rsidP="00C86E78">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668316250"/>
          <w14:checkbox>
            <w14:checked w14:val="1"/>
            <w14:checkedState w14:val="2612" w14:font="MS Gothic"/>
            <w14:uncheckedState w14:val="2610" w14:font="MS Gothic"/>
          </w14:checkbox>
        </w:sdtPr>
        <w:sdtEndPr/>
        <w:sdtContent>
          <w:r>
            <w:rPr>
              <w:rFonts w:ascii="MS Gothic" w:eastAsia="MS Gothic" w:hAnsi="MS Gothic" w:cs="Times New Roman" w:hint="eastAsia"/>
              <w:color w:val="4472C4" w:themeColor="accent5"/>
              <w:sz w:val="20"/>
              <w:szCs w:val="20"/>
            </w:rPr>
            <w:t>☒</w:t>
          </w:r>
        </w:sdtContent>
      </w:sdt>
      <w:r w:rsidR="00C86E78" w:rsidRPr="008B7B81">
        <w:t xml:space="preserve"> </w:t>
      </w:r>
      <w:r w:rsidR="00C86E78" w:rsidRPr="008B7B81">
        <w:rPr>
          <w:rFonts w:ascii="Times New Roman" w:hAnsi="Times New Roman" w:cs="Times New Roman"/>
          <w:color w:val="4472C4" w:themeColor="accent5"/>
          <w:sz w:val="20"/>
          <w:szCs w:val="20"/>
        </w:rPr>
        <w:t>D</w:t>
      </w:r>
      <w:r w:rsidR="00C86E78">
        <w:rPr>
          <w:rFonts w:ascii="Times New Roman" w:hAnsi="Times New Roman" w:cs="Times New Roman"/>
          <w:color w:val="4472C4" w:themeColor="accent5"/>
          <w:sz w:val="20"/>
          <w:szCs w:val="20"/>
        </w:rPr>
        <w:t>ata-Driven Farming For everyone</w:t>
      </w:r>
    </w:p>
    <w:p w14:paraId="6EF79BA8" w14:textId="77777777" w:rsidR="001A723A" w:rsidRPr="00A31B4C" w:rsidRDefault="00D82567"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726680787"/>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Designing for Inclusion: Why Adaptive and participatory methods are necessary</w:t>
      </w:r>
    </w:p>
    <w:p w14:paraId="2C1B6B3A" w14:textId="77777777" w:rsidR="001A723A" w:rsidRPr="00A31B4C" w:rsidRDefault="00D82567"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786037782"/>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From data buckets to living platforms: Pitfalls and opportunities in designing spatial tools and data platforms for sustainable development</w:t>
      </w:r>
    </w:p>
    <w:p w14:paraId="32ED58D4" w14:textId="77777777" w:rsidR="00A31B4C" w:rsidRPr="00A31B4C" w:rsidRDefault="00D82567"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820426932"/>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GovTech in the Global South: Harnessing ICT to transform governments and markets</w:t>
      </w:r>
    </w:p>
    <w:p w14:paraId="56757ECD" w14:textId="77777777" w:rsidR="00A31B4C" w:rsidRPr="00A31B4C" w:rsidRDefault="00A31B4C" w:rsidP="00A31B4C">
      <w:pPr>
        <w:spacing w:after="0" w:line="240" w:lineRule="auto"/>
        <w:jc w:val="both"/>
        <w:rPr>
          <w:rStyle w:val="Strong"/>
          <w:color w:val="4472C4" w:themeColor="accent5"/>
        </w:rPr>
      </w:pPr>
    </w:p>
    <w:p w14:paraId="748E6ABE" w14:textId="77777777" w:rsidR="00A31B4C" w:rsidRPr="00A31B4C" w:rsidRDefault="00A31B4C" w:rsidP="00A31B4C">
      <w:pPr>
        <w:spacing w:after="0" w:line="240" w:lineRule="auto"/>
        <w:jc w:val="both"/>
        <w:rPr>
          <w:rStyle w:val="Strong"/>
          <w:color w:val="4472C4" w:themeColor="accent5"/>
        </w:rPr>
      </w:pPr>
      <w:r w:rsidRPr="00A31B4C">
        <w:rPr>
          <w:rStyle w:val="Strong"/>
          <w:color w:val="4472C4" w:themeColor="accent5"/>
        </w:rPr>
        <w:t>6. Technologies for Sustainable Development of Habitat and Cities</w:t>
      </w:r>
    </w:p>
    <w:p w14:paraId="16A1E6EC" w14:textId="77777777" w:rsidR="00A31B4C" w:rsidRPr="00A31B4C" w:rsidRDefault="00D82567"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MS Gothic" w:eastAsia="MS Gothic" w:hAnsi="MS Gothic" w:cs="Times New Roman"/>
            <w:color w:val="4472C4" w:themeColor="accent5"/>
            <w:sz w:val="20"/>
            <w:szCs w:val="20"/>
          </w:rPr>
          <w:id w:val="746763806"/>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Data management and appropriate geospatial technologies for cities of the Global South</w:t>
      </w:r>
    </w:p>
    <w:p w14:paraId="5C24B4CA" w14:textId="77777777" w:rsidR="00A31B4C" w:rsidRPr="00A31B4C" w:rsidRDefault="00D82567"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MS Gothic" w:eastAsia="MS Gothic" w:hAnsi="MS Gothic" w:cs="Times New Roman"/>
            <w:color w:val="4472C4" w:themeColor="accent5"/>
            <w:sz w:val="20"/>
            <w:szCs w:val="20"/>
          </w:rPr>
          <w:id w:val="129366072"/>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Sustainable habitat and cities: Learning from the slum</w:t>
      </w:r>
    </w:p>
    <w:p w14:paraId="0738870C" w14:textId="77777777" w:rsidR="001A723A" w:rsidRPr="00A31B4C" w:rsidRDefault="00D82567"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543106067"/>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Planning Smart City Technology in the Global South</w:t>
      </w:r>
    </w:p>
    <w:p w14:paraId="1EA18CC9" w14:textId="77777777" w:rsidR="001A723A" w:rsidRPr="00A31B4C" w:rsidRDefault="00D82567"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812825949"/>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 xml:space="preserve">International Cooperation </w:t>
      </w:r>
      <w:proofErr w:type="gramStart"/>
      <w:r w:rsidR="001A723A" w:rsidRPr="008B7B81">
        <w:rPr>
          <w:rFonts w:ascii="Times New Roman" w:hAnsi="Times New Roman" w:cs="Times New Roman"/>
          <w:color w:val="4472C4" w:themeColor="accent5"/>
          <w:sz w:val="20"/>
          <w:szCs w:val="20"/>
        </w:rPr>
        <w:t>And</w:t>
      </w:r>
      <w:proofErr w:type="gramEnd"/>
      <w:r w:rsidR="001A723A" w:rsidRPr="008B7B81">
        <w:rPr>
          <w:rFonts w:ascii="Times New Roman" w:hAnsi="Times New Roman" w:cs="Times New Roman"/>
          <w:color w:val="4472C4" w:themeColor="accent5"/>
          <w:sz w:val="20"/>
          <w:szCs w:val="20"/>
        </w:rPr>
        <w:t xml:space="preserve"> Construction: The Relationship Between Bureaucracy And Innovation.</w:t>
      </w:r>
    </w:p>
    <w:p w14:paraId="36A2C20D" w14:textId="77777777" w:rsidR="001A723A" w:rsidRPr="00A31B4C" w:rsidRDefault="00D82567" w:rsidP="001A723A">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440180835"/>
          <w14:checkbox>
            <w14:checked w14:val="0"/>
            <w14:checkedState w14:val="2612" w14:font="MS Gothic"/>
            <w14:uncheckedState w14:val="2610" w14:font="MS Gothic"/>
          </w14:checkbox>
        </w:sdtPr>
        <w:sdtEndPr/>
        <w:sdtContent>
          <w:r w:rsidR="001A723A" w:rsidRPr="00A31B4C">
            <w:rPr>
              <w:rFonts w:ascii="MS Gothic" w:eastAsia="MS Gothic" w:hAnsi="MS Gothic" w:cs="Times New Roman" w:hint="eastAsia"/>
              <w:color w:val="4472C4" w:themeColor="accent5"/>
              <w:sz w:val="20"/>
              <w:szCs w:val="20"/>
            </w:rPr>
            <w:t>☐</w:t>
          </w:r>
        </w:sdtContent>
      </w:sdt>
      <w:r w:rsidR="001A723A" w:rsidRPr="008B7B81">
        <w:t xml:space="preserve"> </w:t>
      </w:r>
      <w:r w:rsidR="001A723A" w:rsidRPr="008B7B81">
        <w:rPr>
          <w:rFonts w:ascii="Times New Roman" w:hAnsi="Times New Roman" w:cs="Times New Roman"/>
          <w:color w:val="4472C4" w:themeColor="accent5"/>
          <w:sz w:val="20"/>
          <w:szCs w:val="20"/>
        </w:rPr>
        <w:t>Co-producing basic services: alternative socio-technological arrangements towards urban sustainability</w:t>
      </w:r>
    </w:p>
    <w:p w14:paraId="1CFB4E0F" w14:textId="77777777"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4"/>
          <w:szCs w:val="24"/>
          <w:lang w:eastAsia="fr-CH"/>
        </w:rPr>
      </w:pPr>
    </w:p>
    <w:p w14:paraId="6FEE470D" w14:textId="77777777" w:rsidR="00A31B4C" w:rsidRPr="00A31B4C" w:rsidRDefault="00A31B4C" w:rsidP="00A31B4C">
      <w:pPr>
        <w:spacing w:after="0" w:line="240" w:lineRule="auto"/>
        <w:jc w:val="both"/>
        <w:rPr>
          <w:rFonts w:ascii="Times New Roman" w:hAnsi="Times New Roman" w:cs="Times New Roman"/>
          <w:color w:val="4472C4" w:themeColor="accent5"/>
          <w:sz w:val="20"/>
          <w:szCs w:val="20"/>
        </w:rPr>
      </w:pPr>
      <w:r w:rsidRPr="00A31B4C">
        <w:rPr>
          <w:rStyle w:val="Strong"/>
          <w:bCs w:val="0"/>
          <w:color w:val="4472C4" w:themeColor="accent5"/>
        </w:rPr>
        <w:t>7. Crosscutting Themes</w:t>
      </w:r>
      <w:r w:rsidRPr="00A31B4C">
        <w:rPr>
          <w:rFonts w:ascii="Times New Roman" w:hAnsi="Times New Roman" w:cs="Times New Roman"/>
          <w:color w:val="4472C4" w:themeColor="accent5"/>
          <w:sz w:val="20"/>
          <w:szCs w:val="20"/>
        </w:rPr>
        <w:t xml:space="preserve"> </w:t>
      </w:r>
    </w:p>
    <w:p w14:paraId="2328A101" w14:textId="77777777" w:rsidR="00A31B4C" w:rsidRPr="00A31B4C" w:rsidRDefault="00D82567"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575947099"/>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Strengthening the research-policy nexus in the implementation of the SDGs</w:t>
      </w:r>
      <w:r w:rsidR="00A31B4C" w:rsidRPr="00A31B4C">
        <w:rPr>
          <w:rFonts w:ascii="Times New Roman" w:hAnsi="Times New Roman" w:cs="Times New Roman"/>
          <w:color w:val="4472C4" w:themeColor="accent5"/>
          <w:sz w:val="20"/>
          <w:szCs w:val="20"/>
        </w:rPr>
        <w:tab/>
      </w:r>
    </w:p>
    <w:p w14:paraId="68B570C3" w14:textId="77777777" w:rsidR="00A31B4C" w:rsidRPr="00A31B4C" w:rsidRDefault="00D82567"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453636848"/>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Opportunities and Challenges in Quality (Rigorous) Impact Evaluations: Lessons from the academia and the field</w:t>
      </w:r>
    </w:p>
    <w:p w14:paraId="13B3DB09" w14:textId="77777777" w:rsidR="00A31B4C" w:rsidRPr="00A31B4C" w:rsidRDefault="00D82567" w:rsidP="00A31B4C">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737348495"/>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Development Engineering: Training Global Engineers </w:t>
      </w:r>
    </w:p>
    <w:p w14:paraId="75E694D9" w14:textId="77777777" w:rsidR="00AD2D2F" w:rsidRDefault="00D82567" w:rsidP="00AD2D2F">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383004659"/>
          <w14:checkbox>
            <w14:checked w14:val="0"/>
            <w14:checkedState w14:val="2612" w14:font="MS Gothic"/>
            <w14:uncheckedState w14:val="2610" w14:font="MS Gothic"/>
          </w14:checkbox>
        </w:sdtPr>
        <w:sdtEndPr/>
        <w:sdtContent>
          <w:r w:rsidR="00A31B4C" w:rsidRPr="00A31B4C">
            <w:rPr>
              <w:rFonts w:ascii="MS Gothic" w:eastAsia="MS Gothic" w:hAnsi="MS Gothic" w:cs="Times New Roman" w:hint="eastAsia"/>
              <w:color w:val="4472C4" w:themeColor="accent5"/>
              <w:sz w:val="20"/>
              <w:szCs w:val="20"/>
            </w:rPr>
            <w:t>☐</w:t>
          </w:r>
        </w:sdtContent>
      </w:sdt>
      <w:r w:rsidR="00A31B4C" w:rsidRPr="00A31B4C">
        <w:rPr>
          <w:rFonts w:ascii="Times New Roman" w:hAnsi="Times New Roman" w:cs="Times New Roman"/>
          <w:color w:val="4472C4" w:themeColor="accent5"/>
          <w:sz w:val="20"/>
          <w:szCs w:val="20"/>
        </w:rPr>
        <w:t xml:space="preserve"> Open science: an </w:t>
      </w:r>
      <w:r w:rsidR="00CF1A53">
        <w:rPr>
          <w:rFonts w:ascii="Times New Roman" w:hAnsi="Times New Roman" w:cs="Times New Roman"/>
          <w:color w:val="4472C4" w:themeColor="accent5"/>
          <w:sz w:val="20"/>
          <w:szCs w:val="20"/>
        </w:rPr>
        <w:t>opportunity for the Global South</w:t>
      </w:r>
      <w:r w:rsidR="00A31B4C" w:rsidRPr="00A31B4C">
        <w:rPr>
          <w:rFonts w:ascii="Times New Roman" w:hAnsi="Times New Roman" w:cs="Times New Roman"/>
          <w:color w:val="4472C4" w:themeColor="accent5"/>
          <w:sz w:val="20"/>
          <w:szCs w:val="20"/>
        </w:rPr>
        <w:t>?</w:t>
      </w:r>
    </w:p>
    <w:p w14:paraId="29E94BF5" w14:textId="77777777" w:rsidR="00AD2D2F" w:rsidRDefault="00D82567" w:rsidP="00AD2D2F">
      <w:pPr>
        <w:spacing w:after="0" w:line="240" w:lineRule="auto"/>
        <w:jc w:val="both"/>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917786396"/>
          <w14:checkbox>
            <w14:checked w14:val="0"/>
            <w14:checkedState w14:val="2612" w14:font="MS Gothic"/>
            <w14:uncheckedState w14:val="2610" w14:font="MS Gothic"/>
          </w14:checkbox>
        </w:sdtPr>
        <w:sdtEndPr/>
        <w:sdtContent>
          <w:r w:rsidR="00AD2D2F">
            <w:rPr>
              <w:rFonts w:ascii="MS Gothic" w:eastAsia="MS Gothic" w:hAnsi="MS Gothic" w:cs="Times New Roman" w:hint="eastAsia"/>
              <w:color w:val="4472C4" w:themeColor="accent5"/>
              <w:sz w:val="20"/>
              <w:szCs w:val="20"/>
            </w:rPr>
            <w:t>☐</w:t>
          </w:r>
        </w:sdtContent>
      </w:sdt>
      <w:r w:rsidR="00AD2D2F" w:rsidRPr="008B7B81">
        <w:t xml:space="preserve"> </w:t>
      </w:r>
      <w:r w:rsidR="00AD2D2F" w:rsidRPr="008B7B81">
        <w:rPr>
          <w:rFonts w:ascii="Times New Roman" w:hAnsi="Times New Roman" w:cs="Times New Roman"/>
          <w:color w:val="4472C4" w:themeColor="accent5"/>
          <w:sz w:val="20"/>
          <w:szCs w:val="20"/>
        </w:rPr>
        <w:t>Heart Money - the role of venture capitalism in enabling social outcomes</w:t>
      </w:r>
    </w:p>
    <w:p w14:paraId="7613CB0B" w14:textId="77777777" w:rsidR="00AD2D2F" w:rsidRDefault="00D82567" w:rsidP="00AD2D2F">
      <w:pPr>
        <w:spacing w:after="0" w:line="240" w:lineRule="auto"/>
        <w:jc w:val="both"/>
        <w:textAlignment w:val="baseline"/>
        <w:rPr>
          <w:rFonts w:ascii="Times New Roman" w:hAnsi="Times New Roman" w:cs="Times New Roman"/>
          <w:color w:val="4472C4" w:themeColor="accent5"/>
          <w:sz w:val="20"/>
          <w:szCs w:val="20"/>
        </w:rPr>
      </w:pPr>
      <w:sdt>
        <w:sdtPr>
          <w:rPr>
            <w:rFonts w:ascii="MS Gothic" w:eastAsia="MS Gothic" w:hAnsi="MS Gothic" w:cs="Times New Roman"/>
            <w:color w:val="4472C4" w:themeColor="accent5"/>
            <w:sz w:val="20"/>
            <w:szCs w:val="20"/>
          </w:rPr>
          <w:id w:val="28928313"/>
          <w14:checkbox>
            <w14:checked w14:val="0"/>
            <w14:checkedState w14:val="2612" w14:font="MS Gothic"/>
            <w14:uncheckedState w14:val="2610" w14:font="MS Gothic"/>
          </w14:checkbox>
        </w:sdtPr>
        <w:sdtEndPr/>
        <w:sdtContent>
          <w:r w:rsidR="00AD2D2F">
            <w:rPr>
              <w:rFonts w:ascii="MS Gothic" w:eastAsia="MS Gothic" w:hAnsi="MS Gothic" w:cs="Times New Roman" w:hint="eastAsia"/>
              <w:color w:val="4472C4" w:themeColor="accent5"/>
              <w:sz w:val="20"/>
              <w:szCs w:val="20"/>
            </w:rPr>
            <w:t>☐</w:t>
          </w:r>
        </w:sdtContent>
      </w:sdt>
      <w:r w:rsidR="00AD2D2F" w:rsidRPr="008B7B81">
        <w:t xml:space="preserve"> </w:t>
      </w:r>
      <w:r w:rsidR="00AD2D2F" w:rsidRPr="001A723A">
        <w:rPr>
          <w:rFonts w:ascii="Times New Roman" w:hAnsi="Times New Roman" w:cs="Times New Roman"/>
          <w:color w:val="4472C4" w:themeColor="accent5"/>
          <w:sz w:val="20"/>
          <w:szCs w:val="20"/>
        </w:rPr>
        <w:t>Building bridges among global high-tech hubs in the African context</w:t>
      </w:r>
    </w:p>
    <w:p w14:paraId="70616B6A" w14:textId="77777777" w:rsidR="0054094B" w:rsidRDefault="00D82567" w:rsidP="00A31B4C">
      <w:pPr>
        <w:spacing w:after="0" w:line="240" w:lineRule="auto"/>
        <w:jc w:val="both"/>
        <w:textAlignment w:val="baseline"/>
        <w:rPr>
          <w:rFonts w:ascii="Times New Roman" w:hAnsi="Times New Roman" w:cs="Times New Roman"/>
          <w:bCs/>
          <w:color w:val="4472C4" w:themeColor="accent5"/>
          <w:sz w:val="20"/>
          <w:szCs w:val="20"/>
        </w:rPr>
      </w:pPr>
      <w:sdt>
        <w:sdtPr>
          <w:rPr>
            <w:rFonts w:ascii="Times New Roman" w:hAnsi="Times New Roman" w:cs="Times New Roman"/>
            <w:color w:val="4472C4" w:themeColor="accent5"/>
            <w:sz w:val="20"/>
            <w:szCs w:val="20"/>
          </w:rPr>
          <w:id w:val="-1639558045"/>
          <w14:checkbox>
            <w14:checked w14:val="0"/>
            <w14:checkedState w14:val="2612" w14:font="MS Gothic"/>
            <w14:uncheckedState w14:val="2610" w14:font="MS Gothic"/>
          </w14:checkbox>
        </w:sdtPr>
        <w:sdtEndPr/>
        <w:sdtContent>
          <w:r w:rsidR="00AD2D2F" w:rsidRPr="00A31B4C">
            <w:rPr>
              <w:rFonts w:ascii="MS Gothic" w:eastAsia="MS Gothic" w:hAnsi="MS Gothic" w:cs="Times New Roman" w:hint="eastAsia"/>
              <w:color w:val="4472C4" w:themeColor="accent5"/>
              <w:sz w:val="20"/>
              <w:szCs w:val="20"/>
            </w:rPr>
            <w:t>☐</w:t>
          </w:r>
        </w:sdtContent>
      </w:sdt>
      <w:r w:rsidR="00AD2D2F" w:rsidRPr="008B7B81">
        <w:t xml:space="preserve"> </w:t>
      </w:r>
      <w:r w:rsidR="00AD2D2F" w:rsidRPr="008B7B81">
        <w:rPr>
          <w:rFonts w:ascii="Times New Roman" w:hAnsi="Times New Roman" w:cs="Times New Roman"/>
          <w:color w:val="4472C4" w:themeColor="accent5"/>
          <w:sz w:val="20"/>
          <w:szCs w:val="20"/>
        </w:rPr>
        <w:t>Development Engineering in the Private Sector</w:t>
      </w:r>
      <w:r w:rsidR="00A31B4C" w:rsidRPr="00A31B4C">
        <w:rPr>
          <w:rFonts w:ascii="Times New Roman" w:hAnsi="Times New Roman" w:cs="Times New Roman"/>
          <w:bCs/>
          <w:color w:val="4472C4" w:themeColor="accent5"/>
          <w:sz w:val="20"/>
          <w:szCs w:val="20"/>
        </w:rPr>
        <w:tab/>
      </w:r>
    </w:p>
    <w:p w14:paraId="6462BC9D" w14:textId="77777777" w:rsidR="0054094B" w:rsidRPr="00A31B4C" w:rsidRDefault="00D82567" w:rsidP="0054094B">
      <w:pPr>
        <w:spacing w:after="0" w:line="240" w:lineRule="auto"/>
        <w:jc w:val="both"/>
        <w:textAlignment w:val="baseline"/>
        <w:rPr>
          <w:rFonts w:ascii="Times New Roman" w:hAnsi="Times New Roman" w:cs="Times New Roman"/>
          <w:color w:val="4472C4" w:themeColor="accent5"/>
          <w:sz w:val="20"/>
          <w:szCs w:val="20"/>
        </w:rPr>
      </w:pPr>
      <w:sdt>
        <w:sdtPr>
          <w:rPr>
            <w:rFonts w:ascii="Times New Roman" w:hAnsi="Times New Roman" w:cs="Times New Roman"/>
            <w:color w:val="4472C4" w:themeColor="accent5"/>
            <w:sz w:val="20"/>
            <w:szCs w:val="20"/>
          </w:rPr>
          <w:id w:val="1487214937"/>
          <w14:checkbox>
            <w14:checked w14:val="0"/>
            <w14:checkedState w14:val="2612" w14:font="MS Gothic"/>
            <w14:uncheckedState w14:val="2610" w14:font="MS Gothic"/>
          </w14:checkbox>
        </w:sdtPr>
        <w:sdtEndPr/>
        <w:sdtContent>
          <w:r w:rsidR="0054094B" w:rsidRPr="00A31B4C">
            <w:rPr>
              <w:rFonts w:ascii="MS Gothic" w:eastAsia="MS Gothic" w:hAnsi="MS Gothic" w:cs="Times New Roman" w:hint="eastAsia"/>
              <w:color w:val="4472C4" w:themeColor="accent5"/>
              <w:sz w:val="20"/>
              <w:szCs w:val="20"/>
            </w:rPr>
            <w:t>☐</w:t>
          </w:r>
        </w:sdtContent>
      </w:sdt>
      <w:r w:rsidR="0054094B" w:rsidRPr="008B7B81">
        <w:t xml:space="preserve"> </w:t>
      </w:r>
      <w:proofErr w:type="spellStart"/>
      <w:r w:rsidR="0054094B" w:rsidRPr="008B7B81">
        <w:rPr>
          <w:rFonts w:ascii="Times New Roman" w:hAnsi="Times New Roman" w:cs="Times New Roman"/>
          <w:color w:val="4472C4" w:themeColor="accent5"/>
          <w:sz w:val="20"/>
          <w:szCs w:val="20"/>
        </w:rPr>
        <w:t>Blockchain</w:t>
      </w:r>
      <w:proofErr w:type="spellEnd"/>
      <w:r w:rsidR="0054094B" w:rsidRPr="008B7B81">
        <w:rPr>
          <w:rFonts w:ascii="Times New Roman" w:hAnsi="Times New Roman" w:cs="Times New Roman"/>
          <w:color w:val="4472C4" w:themeColor="accent5"/>
          <w:sz w:val="20"/>
          <w:szCs w:val="20"/>
        </w:rPr>
        <w:t xml:space="preserve"> and the </w:t>
      </w:r>
      <w:proofErr w:type="spellStart"/>
      <w:r w:rsidR="0054094B" w:rsidRPr="008B7B81">
        <w:rPr>
          <w:rFonts w:ascii="Times New Roman" w:hAnsi="Times New Roman" w:cs="Times New Roman"/>
          <w:color w:val="4472C4" w:themeColor="accent5"/>
          <w:sz w:val="20"/>
          <w:szCs w:val="20"/>
        </w:rPr>
        <w:t>BoP</w:t>
      </w:r>
      <w:proofErr w:type="spellEnd"/>
      <w:r w:rsidR="0054094B" w:rsidRPr="008B7B81">
        <w:rPr>
          <w:rFonts w:ascii="Times New Roman" w:hAnsi="Times New Roman" w:cs="Times New Roman"/>
          <w:color w:val="4472C4" w:themeColor="accent5"/>
          <w:sz w:val="20"/>
          <w:szCs w:val="20"/>
        </w:rPr>
        <w:t>: a disruptive technology for economic inclusion?</w:t>
      </w:r>
    </w:p>
    <w:p w14:paraId="3AEABDA9" w14:textId="77777777" w:rsidR="00A31B4C" w:rsidRPr="00AD2D2F" w:rsidRDefault="00A31B4C" w:rsidP="00A31B4C">
      <w:pPr>
        <w:spacing w:after="0" w:line="240" w:lineRule="auto"/>
        <w:jc w:val="both"/>
        <w:textAlignment w:val="baseline"/>
        <w:rPr>
          <w:rFonts w:ascii="Times New Roman" w:hAnsi="Times New Roman" w:cs="Times New Roman"/>
          <w:color w:val="4472C4" w:themeColor="accent5"/>
          <w:sz w:val="20"/>
          <w:szCs w:val="20"/>
        </w:rPr>
      </w:pPr>
      <w:r w:rsidRPr="00A31B4C">
        <w:rPr>
          <w:rFonts w:ascii="Times New Roman" w:hAnsi="Times New Roman" w:cs="Times New Roman"/>
          <w:bCs/>
          <w:color w:val="4472C4" w:themeColor="accent5"/>
          <w:sz w:val="20"/>
          <w:szCs w:val="20"/>
        </w:rPr>
        <w:tab/>
      </w:r>
      <w:r w:rsidRPr="00A31B4C">
        <w:rPr>
          <w:rFonts w:ascii="Times New Roman" w:hAnsi="Times New Roman" w:cs="Times New Roman"/>
          <w:bCs/>
          <w:color w:val="4472C4" w:themeColor="accent5"/>
          <w:sz w:val="20"/>
          <w:szCs w:val="20"/>
        </w:rPr>
        <w:tab/>
      </w:r>
    </w:p>
    <w:p w14:paraId="5A7AC214" w14:textId="77777777" w:rsidR="00A31B4C" w:rsidRPr="00A31B4C" w:rsidRDefault="00D82567" w:rsidP="00A31B4C">
      <w:pPr>
        <w:spacing w:after="0" w:line="240" w:lineRule="auto"/>
        <w:jc w:val="both"/>
        <w:rPr>
          <w:rFonts w:ascii="Times New Roman" w:eastAsia="Times New Roman" w:hAnsi="Times New Roman" w:cs="Times New Roman"/>
          <w:b/>
          <w:bCs/>
          <w:color w:val="000000" w:themeColor="text1"/>
          <w:sz w:val="24"/>
          <w:szCs w:val="24"/>
          <w:lang w:eastAsia="fr-CH"/>
        </w:rPr>
      </w:pPr>
      <w:proofErr w:type="spellStart"/>
      <w:r>
        <w:rPr>
          <w:rFonts w:ascii="Times New Roman" w:eastAsia="Times New Roman" w:hAnsi="Times New Roman" w:cs="Times New Roman"/>
          <w:b/>
          <w:bCs/>
          <w:color w:val="000000" w:themeColor="text1"/>
          <w:sz w:val="24"/>
          <w:szCs w:val="24"/>
          <w:lang w:eastAsia="fr-CH"/>
        </w:rPr>
        <w:lastRenderedPageBreak/>
        <w:t>MyWell</w:t>
      </w:r>
      <w:proofErr w:type="spellEnd"/>
      <w:r>
        <w:rPr>
          <w:rFonts w:ascii="Times New Roman" w:eastAsia="Times New Roman" w:hAnsi="Times New Roman" w:cs="Times New Roman"/>
          <w:b/>
          <w:bCs/>
          <w:color w:val="000000" w:themeColor="text1"/>
          <w:sz w:val="24"/>
          <w:szCs w:val="24"/>
          <w:lang w:eastAsia="fr-CH"/>
        </w:rPr>
        <w:t>: Crowdsourcing Science for Groundwater Intervention</w:t>
      </w:r>
      <w:r w:rsidR="00A31B4C" w:rsidRPr="00A31B4C">
        <w:rPr>
          <w:rFonts w:ascii="Times New Roman" w:eastAsia="Times New Roman" w:hAnsi="Times New Roman" w:cs="Times New Roman"/>
          <w:b/>
          <w:bCs/>
          <w:color w:val="000000" w:themeColor="text1"/>
          <w:sz w:val="24"/>
          <w:szCs w:val="24"/>
          <w:lang w:eastAsia="fr-CH"/>
        </w:rPr>
        <w:t xml:space="preserve"> (Extended Abstract)</w:t>
      </w:r>
    </w:p>
    <w:p w14:paraId="32745042" w14:textId="77777777" w:rsidR="00A31B4C" w:rsidRPr="00A31B4C" w:rsidRDefault="00A31B4C" w:rsidP="00A31B4C">
      <w:pPr>
        <w:spacing w:after="0" w:line="240" w:lineRule="auto"/>
        <w:jc w:val="both"/>
        <w:rPr>
          <w:rFonts w:ascii="Times New Roman" w:eastAsia="Times New Roman" w:hAnsi="Times New Roman" w:cs="Times New Roman"/>
          <w:bCs/>
          <w:color w:val="4472C4" w:themeColor="accent5"/>
          <w:sz w:val="24"/>
          <w:szCs w:val="24"/>
          <w:lang w:eastAsia="fr-CH"/>
        </w:rPr>
      </w:pPr>
    </w:p>
    <w:p w14:paraId="3337C965" w14:textId="77777777" w:rsidR="00A31B4C" w:rsidRPr="00A31B4C" w:rsidRDefault="00D82567" w:rsidP="00A31B4C">
      <w:pPr>
        <w:spacing w:after="0" w:line="240" w:lineRule="auto"/>
        <w:jc w:val="both"/>
        <w:rPr>
          <w:rFonts w:ascii="Times New Roman" w:eastAsia="Times New Roman" w:hAnsi="Times New Roman" w:cs="Times New Roman"/>
          <w:b/>
          <w:bCs/>
          <w:color w:val="4472C4" w:themeColor="accent5"/>
          <w:sz w:val="20"/>
          <w:szCs w:val="20"/>
          <w:lang w:val="fr-CH" w:eastAsia="fr-CH"/>
        </w:rPr>
      </w:pPr>
      <w:r>
        <w:rPr>
          <w:rFonts w:ascii="Times New Roman" w:eastAsia="Times New Roman" w:hAnsi="Times New Roman" w:cs="Times New Roman"/>
          <w:b/>
          <w:bCs/>
          <w:color w:val="000000" w:themeColor="text1"/>
          <w:sz w:val="20"/>
          <w:szCs w:val="20"/>
          <w:lang w:val="fr-CH" w:eastAsia="fr-CH"/>
        </w:rPr>
        <w:t>Lewis Daly</w:t>
      </w:r>
      <w:r w:rsidR="00A31B4C" w:rsidRPr="00A31B4C">
        <w:rPr>
          <w:rFonts w:ascii="Times New Roman" w:eastAsia="Times New Roman" w:hAnsi="Times New Roman" w:cs="Times New Roman"/>
          <w:b/>
          <w:bCs/>
          <w:color w:val="000000" w:themeColor="text1"/>
          <w:sz w:val="20"/>
          <w:szCs w:val="20"/>
          <w:lang w:val="fr-CH" w:eastAsia="fr-CH"/>
        </w:rPr>
        <w:t xml:space="preserve"> </w:t>
      </w:r>
      <w:r w:rsidR="00A31B4C" w:rsidRPr="00A31B4C">
        <w:rPr>
          <w:rFonts w:ascii="Times New Roman" w:eastAsia="Times New Roman" w:hAnsi="Times New Roman" w:cs="Times New Roman"/>
          <w:b/>
          <w:bCs/>
          <w:color w:val="000000" w:themeColor="text1"/>
          <w:sz w:val="20"/>
          <w:szCs w:val="20"/>
          <w:vertAlign w:val="superscript"/>
          <w:lang w:val="fr-CH" w:eastAsia="fr-CH"/>
        </w:rPr>
        <w:t>1</w:t>
      </w:r>
      <w:r w:rsidR="00A31B4C" w:rsidRPr="00A31B4C">
        <w:rPr>
          <w:rFonts w:ascii="Times New Roman" w:eastAsia="Times New Roman" w:hAnsi="Times New Roman" w:cs="Times New Roman"/>
          <w:b/>
          <w:bCs/>
          <w:color w:val="000000" w:themeColor="text1"/>
          <w:sz w:val="20"/>
          <w:szCs w:val="20"/>
          <w:lang w:val="fr-CH" w:eastAsia="fr-CH"/>
        </w:rPr>
        <w:t>,</w:t>
      </w:r>
      <w:r>
        <w:rPr>
          <w:rFonts w:ascii="Times New Roman" w:eastAsia="Times New Roman" w:hAnsi="Times New Roman" w:cs="Times New Roman"/>
          <w:b/>
          <w:bCs/>
          <w:color w:val="000000" w:themeColor="text1"/>
          <w:sz w:val="20"/>
          <w:szCs w:val="20"/>
          <w:lang w:val="fr-CH" w:eastAsia="fr-CH"/>
        </w:rPr>
        <w:t xml:space="preserve"> </w:t>
      </w:r>
      <w:r w:rsidRPr="00D82567">
        <w:rPr>
          <w:rFonts w:ascii="Times New Roman" w:eastAsia="Times New Roman" w:hAnsi="Times New Roman" w:cs="Times New Roman"/>
          <w:bCs/>
          <w:color w:val="000000" w:themeColor="text1"/>
          <w:sz w:val="20"/>
          <w:szCs w:val="20"/>
          <w:lang w:val="fr-CH" w:eastAsia="fr-CH"/>
        </w:rPr>
        <w:t>Basant Maheshwari</w:t>
      </w:r>
      <w:r w:rsidR="00A31B4C" w:rsidRPr="00A31B4C">
        <w:rPr>
          <w:rFonts w:ascii="Times New Roman" w:eastAsia="Times New Roman" w:hAnsi="Times New Roman" w:cs="Times New Roman"/>
          <w:b/>
          <w:bCs/>
          <w:color w:val="000000" w:themeColor="text1"/>
          <w:sz w:val="20"/>
          <w:szCs w:val="20"/>
          <w:vertAlign w:val="superscript"/>
          <w:lang w:val="fr-CH" w:eastAsia="fr-CH"/>
        </w:rPr>
        <w:t>2</w:t>
      </w:r>
    </w:p>
    <w:p w14:paraId="7E360439" w14:textId="77777777" w:rsidR="00A31B4C" w:rsidRPr="00A31B4C" w:rsidRDefault="00A31B4C" w:rsidP="00A31B4C">
      <w:pPr>
        <w:spacing w:after="0" w:line="240" w:lineRule="auto"/>
        <w:jc w:val="both"/>
        <w:rPr>
          <w:rFonts w:ascii="Times New Roman" w:eastAsia="Times New Roman" w:hAnsi="Times New Roman" w:cs="Times New Roman"/>
          <w:bCs/>
          <w:color w:val="4472C4" w:themeColor="accent5"/>
          <w:sz w:val="20"/>
          <w:szCs w:val="20"/>
          <w:lang w:val="fr-CH" w:eastAsia="fr-CH"/>
        </w:rPr>
      </w:pPr>
      <w:r w:rsidRPr="00A31B4C">
        <w:rPr>
          <w:rFonts w:ascii="Times New Roman" w:eastAsia="Times New Roman" w:hAnsi="Times New Roman" w:cs="Times New Roman"/>
          <w:bCs/>
          <w:color w:val="4472C4" w:themeColor="accent5"/>
          <w:sz w:val="20"/>
          <w:szCs w:val="20"/>
          <w:vertAlign w:val="superscript"/>
          <w:lang w:val="fr-CH" w:eastAsia="fr-CH"/>
        </w:rPr>
        <w:t xml:space="preserve">1 </w:t>
      </w:r>
      <w:proofErr w:type="spellStart"/>
      <w:r w:rsidR="00D82567" w:rsidRPr="00D82567">
        <w:rPr>
          <w:rFonts w:ascii="Times New Roman" w:eastAsia="Times New Roman" w:hAnsi="Times New Roman" w:cs="Times New Roman"/>
          <w:bCs/>
          <w:color w:val="4472C4" w:themeColor="accent5"/>
          <w:sz w:val="20"/>
          <w:szCs w:val="20"/>
          <w:lang w:val="fr-CH" w:eastAsia="fr-CH"/>
        </w:rPr>
        <w:t>Vessels</w:t>
      </w:r>
      <w:proofErr w:type="spellEnd"/>
      <w:r w:rsidR="00D82567" w:rsidRPr="00D82567">
        <w:rPr>
          <w:rFonts w:ascii="Times New Roman" w:eastAsia="Times New Roman" w:hAnsi="Times New Roman" w:cs="Times New Roman"/>
          <w:bCs/>
          <w:color w:val="4472C4" w:themeColor="accent5"/>
          <w:sz w:val="20"/>
          <w:szCs w:val="20"/>
          <w:lang w:val="fr-CH" w:eastAsia="fr-CH"/>
        </w:rPr>
        <w:t xml:space="preserve"> Tech, </w:t>
      </w:r>
      <w:proofErr w:type="spellStart"/>
      <w:r w:rsidR="00D82567" w:rsidRPr="00D82567">
        <w:rPr>
          <w:rFonts w:ascii="Times New Roman" w:eastAsia="Times New Roman" w:hAnsi="Times New Roman" w:cs="Times New Roman"/>
          <w:bCs/>
          <w:color w:val="4472C4" w:themeColor="accent5"/>
          <w:sz w:val="20"/>
          <w:szCs w:val="20"/>
          <w:lang w:val="fr-CH" w:eastAsia="fr-CH"/>
        </w:rPr>
        <w:t>Adelaide</w:t>
      </w:r>
      <w:proofErr w:type="spellEnd"/>
      <w:r w:rsidR="00D82567" w:rsidRPr="00D82567">
        <w:rPr>
          <w:rFonts w:ascii="Times New Roman" w:eastAsia="Times New Roman" w:hAnsi="Times New Roman" w:cs="Times New Roman"/>
          <w:bCs/>
          <w:color w:val="4472C4" w:themeColor="accent5"/>
          <w:sz w:val="20"/>
          <w:szCs w:val="20"/>
          <w:lang w:val="fr-CH" w:eastAsia="fr-CH"/>
        </w:rPr>
        <w:t xml:space="preserve">, </w:t>
      </w:r>
      <w:proofErr w:type="spellStart"/>
      <w:r w:rsidR="00D82567" w:rsidRPr="00D82567">
        <w:rPr>
          <w:rFonts w:ascii="Times New Roman" w:eastAsia="Times New Roman" w:hAnsi="Times New Roman" w:cs="Times New Roman"/>
          <w:bCs/>
          <w:color w:val="4472C4" w:themeColor="accent5"/>
          <w:sz w:val="20"/>
          <w:szCs w:val="20"/>
          <w:lang w:val="fr-CH" w:eastAsia="fr-CH"/>
        </w:rPr>
        <w:t>Australia</w:t>
      </w:r>
      <w:proofErr w:type="spellEnd"/>
    </w:p>
    <w:p w14:paraId="794D0B6B" w14:textId="77777777" w:rsidR="00A31B4C" w:rsidRDefault="00A31B4C" w:rsidP="00A31B4C">
      <w:pPr>
        <w:spacing w:after="0" w:line="240" w:lineRule="auto"/>
        <w:jc w:val="both"/>
        <w:rPr>
          <w:rFonts w:ascii="Times New Roman" w:eastAsia="Times New Roman" w:hAnsi="Times New Roman" w:cs="Times New Roman"/>
          <w:bCs/>
          <w:color w:val="4472C4" w:themeColor="accent5"/>
          <w:sz w:val="20"/>
          <w:szCs w:val="20"/>
          <w:lang w:eastAsia="fr-CH"/>
        </w:rPr>
      </w:pPr>
      <w:r w:rsidRPr="00A31B4C">
        <w:rPr>
          <w:rFonts w:ascii="Times New Roman" w:eastAsia="Times New Roman" w:hAnsi="Times New Roman" w:cs="Times New Roman"/>
          <w:bCs/>
          <w:color w:val="4472C4" w:themeColor="accent5"/>
          <w:sz w:val="20"/>
          <w:szCs w:val="20"/>
          <w:vertAlign w:val="superscript"/>
          <w:lang w:eastAsia="fr-CH"/>
        </w:rPr>
        <w:t xml:space="preserve">2 </w:t>
      </w:r>
      <w:r w:rsidR="00D82567" w:rsidRPr="00D82567">
        <w:rPr>
          <w:rFonts w:ascii="Times New Roman" w:eastAsia="Times New Roman" w:hAnsi="Times New Roman" w:cs="Times New Roman"/>
          <w:bCs/>
          <w:color w:val="4472C4" w:themeColor="accent5"/>
          <w:sz w:val="20"/>
          <w:szCs w:val="20"/>
          <w:lang w:eastAsia="fr-CH"/>
        </w:rPr>
        <w:t xml:space="preserve">Western Sydney University, </w:t>
      </w:r>
      <w:proofErr w:type="spellStart"/>
      <w:r w:rsidR="00D82567" w:rsidRPr="00D82567">
        <w:rPr>
          <w:rFonts w:ascii="Times New Roman" w:eastAsia="Times New Roman" w:hAnsi="Times New Roman" w:cs="Times New Roman"/>
          <w:bCs/>
          <w:color w:val="4472C4" w:themeColor="accent5"/>
          <w:sz w:val="20"/>
          <w:szCs w:val="20"/>
          <w:lang w:eastAsia="fr-CH"/>
        </w:rPr>
        <w:t>Syndey</w:t>
      </w:r>
      <w:proofErr w:type="spellEnd"/>
      <w:r w:rsidR="00D82567" w:rsidRPr="00D82567">
        <w:rPr>
          <w:rFonts w:ascii="Times New Roman" w:eastAsia="Times New Roman" w:hAnsi="Times New Roman" w:cs="Times New Roman"/>
          <w:bCs/>
          <w:color w:val="4472C4" w:themeColor="accent5"/>
          <w:sz w:val="20"/>
          <w:szCs w:val="20"/>
          <w:lang w:eastAsia="fr-CH"/>
        </w:rPr>
        <w:t>, Australia</w:t>
      </w:r>
    </w:p>
    <w:p w14:paraId="1BBC0CDF" w14:textId="77777777" w:rsidR="00A31B4C" w:rsidRPr="00A31B4C" w:rsidRDefault="00A31B4C" w:rsidP="00A31B4C">
      <w:pPr>
        <w:spacing w:after="0" w:line="240" w:lineRule="auto"/>
        <w:jc w:val="both"/>
        <w:rPr>
          <w:rFonts w:ascii="Times New Roman" w:eastAsia="Times New Roman" w:hAnsi="Times New Roman" w:cs="Times New Roman"/>
          <w:bCs/>
          <w:color w:val="4472C4" w:themeColor="accent5"/>
          <w:sz w:val="20"/>
          <w:szCs w:val="20"/>
          <w:lang w:eastAsia="fr-CH"/>
        </w:rPr>
      </w:pPr>
    </w:p>
    <w:p w14:paraId="18468A60" w14:textId="77777777"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r w:rsidRPr="00A31B4C">
        <w:rPr>
          <w:rFonts w:ascii="Times New Roman" w:eastAsia="Times New Roman" w:hAnsi="Times New Roman" w:cs="Times New Roman"/>
          <w:b/>
          <w:bCs/>
          <w:color w:val="000000" w:themeColor="text1"/>
          <w:sz w:val="20"/>
          <w:szCs w:val="20"/>
          <w:lang w:eastAsia="fr-CH"/>
        </w:rPr>
        <w:t xml:space="preserve">Presenting author’s email address: </w:t>
      </w:r>
      <w:r w:rsidR="00D82567">
        <w:rPr>
          <w:rFonts w:ascii="Times New Roman" w:eastAsia="Times New Roman" w:hAnsi="Times New Roman" w:cs="Times New Roman"/>
          <w:bCs/>
          <w:color w:val="4472C4" w:themeColor="accent5"/>
          <w:sz w:val="20"/>
          <w:szCs w:val="20"/>
          <w:lang w:eastAsia="fr-CH"/>
        </w:rPr>
        <w:t>lewis@vesselstech.com</w:t>
      </w:r>
    </w:p>
    <w:p w14:paraId="653743AA" w14:textId="77777777" w:rsidR="00A31B4C" w:rsidRPr="00A31B4C" w:rsidRDefault="00A31B4C" w:rsidP="00A31B4C">
      <w:pPr>
        <w:spacing w:after="0" w:line="240" w:lineRule="auto"/>
        <w:jc w:val="both"/>
        <w:rPr>
          <w:rFonts w:ascii="Times New Roman" w:eastAsia="Times New Roman" w:hAnsi="Times New Roman" w:cs="Times New Roman"/>
          <w:bCs/>
          <w:color w:val="4472C4" w:themeColor="accent5"/>
          <w:sz w:val="20"/>
          <w:szCs w:val="20"/>
          <w:lang w:eastAsia="fr-CH"/>
        </w:rPr>
      </w:pPr>
      <w:bookmarkStart w:id="0" w:name="_GoBack"/>
      <w:bookmarkEnd w:id="0"/>
    </w:p>
    <w:p w14:paraId="142BB2D8" w14:textId="77777777" w:rsid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eastAsia="Times New Roman" w:hAnsi="Times New Roman" w:cs="Times New Roman"/>
          <w:b/>
          <w:bCs/>
          <w:i/>
          <w:color w:val="000000" w:themeColor="text1"/>
          <w:sz w:val="20"/>
          <w:szCs w:val="20"/>
          <w:lang w:eastAsia="fr-CH"/>
        </w:rPr>
        <w:t xml:space="preserve">Biography of Presenting Author </w:t>
      </w:r>
      <w:r w:rsidRPr="00A31B4C">
        <w:rPr>
          <w:rFonts w:ascii="Times New Roman" w:hAnsi="Times New Roman" w:cs="Times New Roman"/>
          <w:b/>
          <w:color w:val="000000" w:themeColor="text1"/>
          <w:sz w:val="20"/>
          <w:szCs w:val="20"/>
        </w:rPr>
        <w:t xml:space="preserve">(80 words): </w:t>
      </w:r>
      <w:r w:rsidR="00D82567" w:rsidRPr="00D82567">
        <w:rPr>
          <w:rFonts w:ascii="Times New Roman" w:hAnsi="Times New Roman" w:cs="Times New Roman"/>
          <w:b/>
          <w:color w:val="4472C4" w:themeColor="accent5"/>
          <w:sz w:val="20"/>
          <w:szCs w:val="20"/>
        </w:rPr>
        <w:t xml:space="preserve">Lewis Daly is the Founder and CTO of Vessels Tech in Australia. He has a background in IT and business, with a </w:t>
      </w:r>
      <w:proofErr w:type="spellStart"/>
      <w:r w:rsidR="00D82567" w:rsidRPr="00D82567">
        <w:rPr>
          <w:rFonts w:ascii="Times New Roman" w:hAnsi="Times New Roman" w:cs="Times New Roman"/>
          <w:b/>
          <w:color w:val="4472C4" w:themeColor="accent5"/>
          <w:sz w:val="20"/>
          <w:szCs w:val="20"/>
        </w:rPr>
        <w:t>Masters</w:t>
      </w:r>
      <w:proofErr w:type="spellEnd"/>
      <w:r w:rsidR="00D82567" w:rsidRPr="00D82567">
        <w:rPr>
          <w:rFonts w:ascii="Times New Roman" w:hAnsi="Times New Roman" w:cs="Times New Roman"/>
          <w:b/>
          <w:color w:val="4472C4" w:themeColor="accent5"/>
          <w:sz w:val="20"/>
          <w:szCs w:val="20"/>
        </w:rPr>
        <w:t xml:space="preserve"> degree from Carnegie Mellon University in Adelaide. He has also worked as an IT Systems research intern at Hitachi in Japan.</w:t>
      </w:r>
    </w:p>
    <w:p w14:paraId="6B78B307" w14:textId="77777777" w:rsidR="00D82567" w:rsidRPr="00A31B4C" w:rsidRDefault="00D82567" w:rsidP="00A31B4C">
      <w:pPr>
        <w:spacing w:after="0" w:line="240" w:lineRule="auto"/>
        <w:jc w:val="both"/>
        <w:rPr>
          <w:rFonts w:ascii="Times New Roman" w:hAnsi="Times New Roman" w:cs="Times New Roman"/>
          <w:b/>
          <w:color w:val="4472C4" w:themeColor="accent5"/>
          <w:sz w:val="20"/>
          <w:szCs w:val="20"/>
        </w:rPr>
      </w:pPr>
    </w:p>
    <w:p w14:paraId="1078F3FB" w14:textId="77777777" w:rsidR="00A31B4C" w:rsidRPr="00A31B4C" w:rsidRDefault="00A31B4C" w:rsidP="00A31B4C">
      <w:pPr>
        <w:spacing w:after="0" w:line="240" w:lineRule="auto"/>
        <w:jc w:val="both"/>
        <w:rPr>
          <w:rFonts w:ascii="Times New Roman" w:hAnsi="Times New Roman" w:cs="Times New Roman"/>
          <w:b/>
          <w:color w:val="4472C4" w:themeColor="accent5"/>
          <w:sz w:val="20"/>
          <w:szCs w:val="20"/>
        </w:rPr>
      </w:pPr>
      <w:commentRangeStart w:id="1"/>
      <w:r w:rsidRPr="00A31B4C">
        <w:rPr>
          <w:rFonts w:ascii="Times New Roman" w:eastAsia="Times New Roman" w:hAnsi="Times New Roman" w:cs="Times New Roman"/>
          <w:b/>
          <w:bCs/>
          <w:color w:val="000000" w:themeColor="text1"/>
          <w:sz w:val="20"/>
          <w:szCs w:val="20"/>
          <w:lang w:eastAsia="fr-CH"/>
        </w:rPr>
        <w:t xml:space="preserve">Abstract: </w:t>
      </w:r>
      <w:r w:rsidRPr="00A31B4C">
        <w:rPr>
          <w:rFonts w:ascii="Times New Roman" w:hAnsi="Times New Roman" w:cs="Times New Roman"/>
          <w:b/>
          <w:color w:val="4472C4" w:themeColor="accent5"/>
          <w:sz w:val="20"/>
          <w:szCs w:val="20"/>
        </w:rPr>
        <w:t>Please provide a short clear description of the main facts or ideas that you are including in your extended abstract. This summary should not</w:t>
      </w:r>
      <w:r w:rsidR="007B7594">
        <w:rPr>
          <w:rFonts w:ascii="Times New Roman" w:hAnsi="Times New Roman" w:cs="Times New Roman"/>
          <w:b/>
          <w:color w:val="4472C4" w:themeColor="accent5"/>
          <w:sz w:val="20"/>
          <w:szCs w:val="20"/>
        </w:rPr>
        <w:t xml:space="preserve"> exceed 15</w:t>
      </w:r>
      <w:r w:rsidRPr="00A31B4C">
        <w:rPr>
          <w:rFonts w:ascii="Times New Roman" w:hAnsi="Times New Roman" w:cs="Times New Roman"/>
          <w:b/>
          <w:color w:val="4472C4" w:themeColor="accent5"/>
          <w:sz w:val="20"/>
          <w:szCs w:val="20"/>
        </w:rPr>
        <w:t>0 words.</w:t>
      </w:r>
      <w:commentRangeEnd w:id="1"/>
      <w:r w:rsidR="00D82567">
        <w:rPr>
          <w:rStyle w:val="CommentReference"/>
        </w:rPr>
        <w:commentReference w:id="1"/>
      </w:r>
    </w:p>
    <w:p w14:paraId="0B348EF9" w14:textId="77777777"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14:paraId="7A5D8F11" w14:textId="77777777"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r w:rsidRPr="00A31B4C">
        <w:rPr>
          <w:rFonts w:ascii="Times New Roman" w:eastAsia="Times New Roman" w:hAnsi="Times New Roman" w:cs="Times New Roman"/>
          <w:b/>
          <w:bCs/>
          <w:color w:val="000000" w:themeColor="text1"/>
          <w:sz w:val="20"/>
          <w:szCs w:val="20"/>
          <w:lang w:eastAsia="fr-CH"/>
        </w:rPr>
        <w:t xml:space="preserve">Keywords: </w:t>
      </w:r>
      <w:r w:rsidR="00D82567" w:rsidRPr="00D82567">
        <w:rPr>
          <w:rFonts w:ascii="Times New Roman" w:hAnsi="Times New Roman" w:cs="Times New Roman"/>
          <w:b/>
          <w:color w:val="4472C4" w:themeColor="accent5"/>
          <w:sz w:val="20"/>
          <w:szCs w:val="20"/>
        </w:rPr>
        <w:t>Data Collection, Crowdsourcing, Groundwater</w:t>
      </w:r>
    </w:p>
    <w:p w14:paraId="72466A3F" w14:textId="77777777"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14:paraId="1266E275" w14:textId="77777777"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14:paraId="100A67D1" w14:textId="77777777" w:rsidR="00A31B4C" w:rsidRPr="00A31B4C" w:rsidRDefault="00A31B4C" w:rsidP="00A31B4C">
      <w:pPr>
        <w:spacing w:after="0" w:line="240" w:lineRule="auto"/>
        <w:jc w:val="both"/>
        <w:rPr>
          <w:rFonts w:ascii="Times New Roman" w:eastAsia="Times New Roman" w:hAnsi="Times New Roman" w:cs="Times New Roman"/>
          <w:b/>
          <w:bCs/>
          <w:color w:val="000000" w:themeColor="text1"/>
          <w:sz w:val="20"/>
          <w:szCs w:val="20"/>
          <w:lang w:eastAsia="fr-CH"/>
        </w:rPr>
      </w:pPr>
      <w:r w:rsidRPr="00A31B4C">
        <w:rPr>
          <w:rFonts w:ascii="Times New Roman" w:eastAsia="Times New Roman" w:hAnsi="Times New Roman" w:cs="Times New Roman"/>
          <w:b/>
          <w:bCs/>
          <w:color w:val="000000" w:themeColor="text1"/>
          <w:sz w:val="20"/>
          <w:szCs w:val="20"/>
          <w:lang w:eastAsia="fr-CH"/>
        </w:rPr>
        <w:t xml:space="preserve">Extended Abstract </w:t>
      </w:r>
    </w:p>
    <w:p w14:paraId="7A3D7113" w14:textId="77777777"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14:paraId="2227CFEE" w14:textId="77777777" w:rsidR="00D82567" w:rsidRPr="00D82567" w:rsidRDefault="00D82567" w:rsidP="00D82567">
      <w:pPr>
        <w:spacing w:after="0" w:line="240" w:lineRule="auto"/>
        <w:contextualSpacing/>
        <w:jc w:val="both"/>
        <w:rPr>
          <w:rFonts w:ascii="Times New Roman" w:hAnsi="Times New Roman" w:cs="Times New Roman"/>
          <w:b/>
          <w:color w:val="000000" w:themeColor="text1"/>
          <w:sz w:val="20"/>
          <w:szCs w:val="20"/>
        </w:rPr>
      </w:pPr>
      <w:r w:rsidRPr="00D82567">
        <w:rPr>
          <w:rFonts w:ascii="Times New Roman" w:hAnsi="Times New Roman" w:cs="Times New Roman"/>
          <w:b/>
          <w:color w:val="000000" w:themeColor="text1"/>
          <w:sz w:val="20"/>
          <w:szCs w:val="20"/>
        </w:rPr>
        <w:t>Background</w:t>
      </w:r>
    </w:p>
    <w:p w14:paraId="6C6091D5" w14:textId="77777777" w:rsidR="00D82567" w:rsidRPr="00D82567" w:rsidRDefault="00D82567" w:rsidP="00D82567">
      <w:pPr>
        <w:spacing w:after="0" w:line="240" w:lineRule="auto"/>
        <w:contextualSpacing/>
        <w:jc w:val="both"/>
        <w:rPr>
          <w:rFonts w:ascii="Times New Roman" w:hAnsi="Times New Roman" w:cs="Times New Roman"/>
          <w:b/>
          <w:color w:val="000000" w:themeColor="text1"/>
          <w:sz w:val="20"/>
          <w:szCs w:val="20"/>
        </w:rPr>
      </w:pPr>
    </w:p>
    <w:p w14:paraId="4FC7974F"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r w:rsidRPr="00D82567">
        <w:rPr>
          <w:rFonts w:ascii="Times New Roman" w:hAnsi="Times New Roman" w:cs="Times New Roman"/>
          <w:color w:val="000000" w:themeColor="text1"/>
          <w:sz w:val="20"/>
          <w:szCs w:val="20"/>
        </w:rPr>
        <w:t>India uses the largest amount of groundwater in the world, estimated at 230 cubic kilometers per year, more than 25% of the global total (World Bank, 2010). A relatively cheap and accessible resource, groundwater is often overexploited for food production, with rainfall insufficient to recharge the groundwater levels (Rathore, 2004).</w:t>
      </w:r>
    </w:p>
    <w:p w14:paraId="37048026"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42B51276"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r w:rsidRPr="00D82567">
        <w:rPr>
          <w:rFonts w:ascii="Times New Roman" w:hAnsi="Times New Roman" w:cs="Times New Roman"/>
          <w:color w:val="000000" w:themeColor="text1"/>
          <w:sz w:val="20"/>
          <w:szCs w:val="20"/>
        </w:rPr>
        <w:t>Groundwater is fundamental to the livelihoods of many farmers across India. In rural India, over 60 percent of agriculture is dependent on groundwater irrigation (World Bank, 2010). Groundwater allows farmers to grow crops in the dry season, as well as manage deficiencies in monsoonal rainfall, contributing to improved livelihoods and poverty alleviation (Maheshwari et al, 2014).</w:t>
      </w:r>
    </w:p>
    <w:p w14:paraId="37921ED8"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7BB62679"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r w:rsidRPr="00D82567">
        <w:rPr>
          <w:rFonts w:ascii="Times New Roman" w:hAnsi="Times New Roman" w:cs="Times New Roman"/>
          <w:color w:val="000000" w:themeColor="text1"/>
          <w:sz w:val="20"/>
          <w:szCs w:val="20"/>
        </w:rPr>
        <w:t xml:space="preserve">To ensure the future </w:t>
      </w:r>
      <w:r w:rsidRPr="00D82567">
        <w:rPr>
          <w:rFonts w:ascii="Times New Roman" w:hAnsi="Times New Roman" w:cs="Times New Roman"/>
          <w:color w:val="000000" w:themeColor="text1"/>
          <w:sz w:val="20"/>
          <w:szCs w:val="20"/>
        </w:rPr>
        <w:t>livelihoods</w:t>
      </w:r>
      <w:r w:rsidRPr="00D82567">
        <w:rPr>
          <w:rFonts w:ascii="Times New Roman" w:hAnsi="Times New Roman" w:cs="Times New Roman"/>
          <w:color w:val="000000" w:themeColor="text1"/>
          <w:sz w:val="20"/>
          <w:szCs w:val="20"/>
        </w:rPr>
        <w:t xml:space="preserve"> of these farmers, intervention is required. Many existing intervention approaches are top-down; policy makers and researchers with a clear view of watershed-level issues instruct farmers to use less water. With these approaches, farmers are often left out of the conversation, and aren't able to engage in groundwater management.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within the scope of a larger project MARVI - Managed Aquifer Recharge for Village </w:t>
      </w:r>
      <w:proofErr w:type="gramStart"/>
      <w:r w:rsidRPr="00D82567">
        <w:rPr>
          <w:rFonts w:ascii="Times New Roman" w:hAnsi="Times New Roman" w:cs="Times New Roman"/>
          <w:color w:val="000000" w:themeColor="text1"/>
          <w:sz w:val="20"/>
          <w:szCs w:val="20"/>
        </w:rPr>
        <w:t>level</w:t>
      </w:r>
      <w:proofErr w:type="gramEnd"/>
      <w:r w:rsidRPr="00D82567">
        <w:rPr>
          <w:rFonts w:ascii="Times New Roman" w:hAnsi="Times New Roman" w:cs="Times New Roman"/>
          <w:color w:val="000000" w:themeColor="text1"/>
          <w:sz w:val="20"/>
          <w:szCs w:val="20"/>
        </w:rPr>
        <w:t xml:space="preserve"> Intervention - set out to build participatory approaches for groundwater management from the bottom, the farmers and villages themselves.</w:t>
      </w:r>
    </w:p>
    <w:p w14:paraId="15EEE047"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081EC210"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1F07911E" w14:textId="77777777" w:rsidR="00D82567" w:rsidRPr="00D82567" w:rsidRDefault="00D82567" w:rsidP="00D82567">
      <w:pPr>
        <w:spacing w:after="0" w:line="240" w:lineRule="auto"/>
        <w:contextualSpacing/>
        <w:jc w:val="both"/>
        <w:rPr>
          <w:rFonts w:ascii="Times New Roman" w:hAnsi="Times New Roman" w:cs="Times New Roman"/>
          <w:b/>
          <w:color w:val="000000" w:themeColor="text1"/>
          <w:sz w:val="20"/>
          <w:szCs w:val="20"/>
        </w:rPr>
      </w:pPr>
      <w:proofErr w:type="spellStart"/>
      <w:r w:rsidRPr="00D82567">
        <w:rPr>
          <w:rFonts w:ascii="Times New Roman" w:hAnsi="Times New Roman" w:cs="Times New Roman"/>
          <w:b/>
          <w:color w:val="000000" w:themeColor="text1"/>
          <w:sz w:val="20"/>
          <w:szCs w:val="20"/>
        </w:rPr>
        <w:t>MyWell</w:t>
      </w:r>
      <w:proofErr w:type="spellEnd"/>
    </w:p>
    <w:p w14:paraId="0056F34F"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22C0D526"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is a smartphone and SMS application for crowdsourcing groundwater, rainfall, water quality and </w:t>
      </w:r>
      <w:proofErr w:type="spellStart"/>
      <w:r w:rsidRPr="00D82567">
        <w:rPr>
          <w:rFonts w:ascii="Times New Roman" w:hAnsi="Times New Roman" w:cs="Times New Roman"/>
          <w:color w:val="000000" w:themeColor="text1"/>
          <w:sz w:val="20"/>
          <w:szCs w:val="20"/>
        </w:rPr>
        <w:t>checkdam</w:t>
      </w:r>
      <w:proofErr w:type="spellEnd"/>
      <w:r w:rsidRPr="00D82567">
        <w:rPr>
          <w:rFonts w:ascii="Times New Roman" w:hAnsi="Times New Roman" w:cs="Times New Roman"/>
          <w:color w:val="000000" w:themeColor="text1"/>
          <w:sz w:val="20"/>
          <w:szCs w:val="20"/>
        </w:rPr>
        <w:t xml:space="preserve"> water levels in rural India. Farmers armed with a smartphone or feature phone can participate in a network of connected farmers who collect information, and glean insights into the groundwater situation.</w:t>
      </w:r>
    </w:p>
    <w:p w14:paraId="5ABDD62A"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3FCDFCCC"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readings are recorded by farmers on Android or iOS devices using the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app, or over SMS for those without smartphones or in poor coverage areas.</w:t>
      </w:r>
    </w:p>
    <w:p w14:paraId="5C67FB65"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1C243101"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can able to provide valuable data-driven insights into the groundwater situation.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displays simple graphs; snapshots of the readings from a Well, </w:t>
      </w:r>
      <w:proofErr w:type="spellStart"/>
      <w:r w:rsidRPr="00D82567">
        <w:rPr>
          <w:rFonts w:ascii="Times New Roman" w:hAnsi="Times New Roman" w:cs="Times New Roman"/>
          <w:color w:val="000000" w:themeColor="text1"/>
          <w:sz w:val="20"/>
          <w:szCs w:val="20"/>
        </w:rPr>
        <w:t>Raingauge</w:t>
      </w:r>
      <w:proofErr w:type="spellEnd"/>
      <w:r w:rsidRPr="00D82567">
        <w:rPr>
          <w:rFonts w:ascii="Times New Roman" w:hAnsi="Times New Roman" w:cs="Times New Roman"/>
          <w:color w:val="000000" w:themeColor="text1"/>
          <w:sz w:val="20"/>
          <w:szCs w:val="20"/>
        </w:rPr>
        <w:t xml:space="preserve"> or </w:t>
      </w:r>
      <w:proofErr w:type="spellStart"/>
      <w:r w:rsidRPr="00D82567">
        <w:rPr>
          <w:rFonts w:ascii="Times New Roman" w:hAnsi="Times New Roman" w:cs="Times New Roman"/>
          <w:color w:val="000000" w:themeColor="text1"/>
          <w:sz w:val="20"/>
          <w:szCs w:val="20"/>
        </w:rPr>
        <w:t>Checkdam</w:t>
      </w:r>
      <w:proofErr w:type="spellEnd"/>
      <w:r w:rsidRPr="00D82567">
        <w:rPr>
          <w:rFonts w:ascii="Times New Roman" w:hAnsi="Times New Roman" w:cs="Times New Roman"/>
          <w:color w:val="000000" w:themeColor="text1"/>
          <w:sz w:val="20"/>
          <w:szCs w:val="20"/>
        </w:rPr>
        <w:t xml:space="preserve"> over the last 3 years.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also calculates village level statistics. These tools allow farmers to easily compare and benchmark their wells against each other, and previous years.</w:t>
      </w:r>
    </w:p>
    <w:p w14:paraId="3378A8A3"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36EA54AD"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also has a host of tools for farmers to manage the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system. Farmers can register a new Well, Rainfall Station or </w:t>
      </w:r>
      <w:proofErr w:type="spellStart"/>
      <w:r w:rsidRPr="00D82567">
        <w:rPr>
          <w:rFonts w:ascii="Times New Roman" w:hAnsi="Times New Roman" w:cs="Times New Roman"/>
          <w:color w:val="000000" w:themeColor="text1"/>
          <w:sz w:val="20"/>
          <w:szCs w:val="20"/>
        </w:rPr>
        <w:t>Checkdam</w:t>
      </w:r>
      <w:proofErr w:type="spellEnd"/>
      <w:r w:rsidRPr="00D82567">
        <w:rPr>
          <w:rFonts w:ascii="Times New Roman" w:hAnsi="Times New Roman" w:cs="Times New Roman"/>
          <w:color w:val="000000" w:themeColor="text1"/>
          <w:sz w:val="20"/>
          <w:szCs w:val="20"/>
        </w:rPr>
        <w:t xml:space="preserve"> - using their device's inbuilt GPS to pinpoint the location. Each well also has a unique Banner Image - usually of the well and well's owner -  allowing for greater </w:t>
      </w:r>
      <w:r w:rsidRPr="00D82567">
        <w:rPr>
          <w:rFonts w:ascii="Times New Roman" w:hAnsi="Times New Roman" w:cs="Times New Roman"/>
          <w:color w:val="000000" w:themeColor="text1"/>
          <w:sz w:val="20"/>
          <w:szCs w:val="20"/>
        </w:rPr>
        <w:t>personalization</w:t>
      </w:r>
      <w:r w:rsidRPr="00D82567">
        <w:rPr>
          <w:rFonts w:ascii="Times New Roman" w:hAnsi="Times New Roman" w:cs="Times New Roman"/>
          <w:color w:val="000000" w:themeColor="text1"/>
          <w:sz w:val="20"/>
          <w:szCs w:val="20"/>
        </w:rPr>
        <w:t xml:space="preserve"> and buy-in at the village level.</w:t>
      </w:r>
    </w:p>
    <w:p w14:paraId="56BF340F"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003CFAAC" w14:textId="77777777" w:rsidR="00D82567" w:rsidRPr="00D82567" w:rsidRDefault="00D82567" w:rsidP="00D82567">
      <w:pPr>
        <w:spacing w:after="0" w:line="240" w:lineRule="auto"/>
        <w:contextualSpacing/>
        <w:jc w:val="both"/>
        <w:rPr>
          <w:rFonts w:ascii="Times New Roman" w:hAnsi="Times New Roman" w:cs="Times New Roman"/>
          <w:b/>
          <w:color w:val="000000" w:themeColor="text1"/>
          <w:sz w:val="20"/>
          <w:szCs w:val="20"/>
        </w:rPr>
      </w:pPr>
      <w:r w:rsidRPr="00D82567">
        <w:rPr>
          <w:rFonts w:ascii="Times New Roman" w:hAnsi="Times New Roman" w:cs="Times New Roman"/>
          <w:b/>
          <w:color w:val="000000" w:themeColor="text1"/>
          <w:sz w:val="20"/>
          <w:szCs w:val="20"/>
        </w:rPr>
        <w:t>Impact</w:t>
      </w:r>
    </w:p>
    <w:p w14:paraId="3E693615"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654C93CD"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roofErr w:type="spellStart"/>
      <w:r w:rsidRPr="00D82567">
        <w:rPr>
          <w:rFonts w:ascii="Times New Roman" w:hAnsi="Times New Roman" w:cs="Times New Roman"/>
          <w:color w:val="000000" w:themeColor="text1"/>
          <w:sz w:val="20"/>
          <w:szCs w:val="20"/>
        </w:rPr>
        <w:lastRenderedPageBreak/>
        <w:t>MyWell</w:t>
      </w:r>
      <w:proofErr w:type="spellEnd"/>
      <w:r w:rsidRPr="00D82567">
        <w:rPr>
          <w:rFonts w:ascii="Times New Roman" w:hAnsi="Times New Roman" w:cs="Times New Roman"/>
          <w:color w:val="000000" w:themeColor="text1"/>
          <w:sz w:val="20"/>
          <w:szCs w:val="20"/>
        </w:rPr>
        <w:t xml:space="preserve"> has the potential to impact the </w:t>
      </w:r>
      <w:r w:rsidRPr="00D82567">
        <w:rPr>
          <w:rFonts w:ascii="Times New Roman" w:hAnsi="Times New Roman" w:cs="Times New Roman"/>
          <w:color w:val="000000" w:themeColor="text1"/>
          <w:sz w:val="20"/>
          <w:szCs w:val="20"/>
        </w:rPr>
        <w:t>livelihoods</w:t>
      </w:r>
      <w:r w:rsidRPr="00D82567">
        <w:rPr>
          <w:rFonts w:ascii="Times New Roman" w:hAnsi="Times New Roman" w:cs="Times New Roman"/>
          <w:color w:val="000000" w:themeColor="text1"/>
          <w:sz w:val="20"/>
          <w:szCs w:val="20"/>
        </w:rPr>
        <w:t xml:space="preserve"> of farmers across a variety of areas.</w:t>
      </w:r>
    </w:p>
    <w:p w14:paraId="45CF1556"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3472535E"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r w:rsidRPr="00D82567">
        <w:rPr>
          <w:rFonts w:ascii="Times New Roman" w:hAnsi="Times New Roman" w:cs="Times New Roman"/>
          <w:color w:val="000000" w:themeColor="text1"/>
          <w:sz w:val="20"/>
          <w:szCs w:val="20"/>
        </w:rPr>
        <w:t xml:space="preserve">We see the greatest potential in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for empowering smallholder farmers to be actively </w:t>
      </w:r>
      <w:proofErr w:type="spellStart"/>
      <w:r w:rsidRPr="00D82567">
        <w:rPr>
          <w:rFonts w:ascii="Times New Roman" w:hAnsi="Times New Roman" w:cs="Times New Roman"/>
          <w:color w:val="000000" w:themeColor="text1"/>
          <w:sz w:val="20"/>
          <w:szCs w:val="20"/>
        </w:rPr>
        <w:t>invoved</w:t>
      </w:r>
      <w:proofErr w:type="spellEnd"/>
      <w:r w:rsidRPr="00D82567">
        <w:rPr>
          <w:rFonts w:ascii="Times New Roman" w:hAnsi="Times New Roman" w:cs="Times New Roman"/>
          <w:color w:val="000000" w:themeColor="text1"/>
          <w:sz w:val="20"/>
          <w:szCs w:val="20"/>
        </w:rPr>
        <w:t xml:space="preserve"> in science through data collection, and to be a part of the solution to groundwater scarcity.</w:t>
      </w:r>
    </w:p>
    <w:p w14:paraId="20F50FCC"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746BC5FF"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also allows communities of farmers to make data-driven decisions about using groundwater. In the short term, these communities will allow for more </w:t>
      </w:r>
      <w:r w:rsidRPr="00D82567">
        <w:rPr>
          <w:rFonts w:ascii="Times New Roman" w:hAnsi="Times New Roman" w:cs="Times New Roman"/>
          <w:color w:val="000000" w:themeColor="text1"/>
          <w:sz w:val="20"/>
          <w:szCs w:val="20"/>
        </w:rPr>
        <w:t>efficient</w:t>
      </w:r>
      <w:r w:rsidRPr="00D82567">
        <w:rPr>
          <w:rFonts w:ascii="Times New Roman" w:hAnsi="Times New Roman" w:cs="Times New Roman"/>
          <w:color w:val="000000" w:themeColor="text1"/>
          <w:sz w:val="20"/>
          <w:szCs w:val="20"/>
        </w:rPr>
        <w:t xml:space="preserve"> allocation of water (ie. </w:t>
      </w:r>
      <w:proofErr w:type="gramStart"/>
      <w:r w:rsidRPr="00D82567">
        <w:rPr>
          <w:rFonts w:ascii="Times New Roman" w:hAnsi="Times New Roman" w:cs="Times New Roman"/>
          <w:color w:val="000000" w:themeColor="text1"/>
          <w:sz w:val="20"/>
          <w:szCs w:val="20"/>
        </w:rPr>
        <w:t>so</w:t>
      </w:r>
      <w:proofErr w:type="gramEnd"/>
      <w:r w:rsidRPr="00D82567">
        <w:rPr>
          <w:rFonts w:ascii="Times New Roman" w:hAnsi="Times New Roman" w:cs="Times New Roman"/>
          <w:color w:val="000000" w:themeColor="text1"/>
          <w:sz w:val="20"/>
          <w:szCs w:val="20"/>
        </w:rPr>
        <w:t xml:space="preserve"> crops won't fail). Long term,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provides a platform for taking steps towards ensuring the future of water security.</w:t>
      </w:r>
    </w:p>
    <w:p w14:paraId="6597AD03"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06D54328"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is a tool for helping build communities around the need to share groundwater. While not a solution in and of itself, we see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as an instrument that can be used to facilitate conversations about groundwater.</w:t>
      </w:r>
    </w:p>
    <w:p w14:paraId="3E7DFAB2"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02075C1B"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6F651853" w14:textId="77777777" w:rsidR="00D82567" w:rsidRPr="00D82567" w:rsidRDefault="00D82567" w:rsidP="00D82567">
      <w:pPr>
        <w:spacing w:after="0" w:line="240" w:lineRule="auto"/>
        <w:contextualSpacing/>
        <w:jc w:val="both"/>
        <w:rPr>
          <w:rFonts w:ascii="Times New Roman" w:hAnsi="Times New Roman" w:cs="Times New Roman"/>
          <w:b/>
          <w:color w:val="000000" w:themeColor="text1"/>
          <w:sz w:val="20"/>
          <w:szCs w:val="20"/>
        </w:rPr>
      </w:pPr>
      <w:r w:rsidRPr="00D82567">
        <w:rPr>
          <w:rFonts w:ascii="Times New Roman" w:hAnsi="Times New Roman" w:cs="Times New Roman"/>
          <w:b/>
          <w:color w:val="000000" w:themeColor="text1"/>
          <w:sz w:val="20"/>
          <w:szCs w:val="20"/>
        </w:rPr>
        <w:t>Results</w:t>
      </w:r>
    </w:p>
    <w:p w14:paraId="146321EB"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3A18DEDB"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r w:rsidRPr="00D82567">
        <w:rPr>
          <w:rFonts w:ascii="Times New Roman" w:hAnsi="Times New Roman" w:cs="Times New Roman"/>
          <w:color w:val="000000" w:themeColor="text1"/>
          <w:sz w:val="20"/>
          <w:szCs w:val="20"/>
        </w:rPr>
        <w:t xml:space="preserve">This case study evaluates </w:t>
      </w:r>
      <w:proofErr w:type="spellStart"/>
      <w:r w:rsidRPr="00D82567">
        <w:rPr>
          <w:rFonts w:ascii="Times New Roman" w:hAnsi="Times New Roman" w:cs="Times New Roman"/>
          <w:color w:val="000000" w:themeColor="text1"/>
          <w:sz w:val="20"/>
          <w:szCs w:val="20"/>
        </w:rPr>
        <w:t>MyWell's</w:t>
      </w:r>
      <w:proofErr w:type="spellEnd"/>
      <w:r w:rsidRPr="00D82567">
        <w:rPr>
          <w:rFonts w:ascii="Times New Roman" w:hAnsi="Times New Roman" w:cs="Times New Roman"/>
          <w:color w:val="000000" w:themeColor="text1"/>
          <w:sz w:val="20"/>
          <w:szCs w:val="20"/>
        </w:rPr>
        <w:t xml:space="preserve"> implementation in 2 watersheds in rural west India.</w:t>
      </w:r>
    </w:p>
    <w:p w14:paraId="672A5105"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5D73285F"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r w:rsidRPr="00D82567">
        <w:rPr>
          <w:rFonts w:ascii="Times New Roman" w:hAnsi="Times New Roman" w:cs="Times New Roman"/>
          <w:color w:val="000000" w:themeColor="text1"/>
          <w:sz w:val="20"/>
          <w:szCs w:val="20"/>
        </w:rPr>
        <w:t xml:space="preserve">We demonstrate that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can be used from feature and smartphones, and allow farmers to crowdsource well, rainfall and </w:t>
      </w:r>
      <w:proofErr w:type="spellStart"/>
      <w:r w:rsidRPr="00D82567">
        <w:rPr>
          <w:rFonts w:ascii="Times New Roman" w:hAnsi="Times New Roman" w:cs="Times New Roman"/>
          <w:color w:val="000000" w:themeColor="text1"/>
          <w:sz w:val="20"/>
          <w:szCs w:val="20"/>
        </w:rPr>
        <w:t>checkdam</w:t>
      </w:r>
      <w:proofErr w:type="spellEnd"/>
      <w:r w:rsidRPr="00D82567">
        <w:rPr>
          <w:rFonts w:ascii="Times New Roman" w:hAnsi="Times New Roman" w:cs="Times New Roman"/>
          <w:color w:val="000000" w:themeColor="text1"/>
          <w:sz w:val="20"/>
          <w:szCs w:val="20"/>
        </w:rPr>
        <w:t xml:space="preserve"> readings, and access the data-driven insights into the groundwater situation.</w:t>
      </w:r>
    </w:p>
    <w:p w14:paraId="25E0B282"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382CF194"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r w:rsidRPr="00D82567">
        <w:rPr>
          <w:rFonts w:ascii="Times New Roman" w:hAnsi="Times New Roman" w:cs="Times New Roman"/>
          <w:color w:val="000000" w:themeColor="text1"/>
          <w:sz w:val="20"/>
          <w:szCs w:val="20"/>
        </w:rPr>
        <w:t xml:space="preserve">We also show how the potential for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to empower smallholder farmers and villages to contribute to science, and be actively involved seeking village-led solutions to groundwater scarcity.</w:t>
      </w:r>
    </w:p>
    <w:p w14:paraId="2F3C9821"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42A4E9E7"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r w:rsidRPr="00D82567">
        <w:rPr>
          <w:rFonts w:ascii="Times New Roman" w:hAnsi="Times New Roman" w:cs="Times New Roman"/>
          <w:color w:val="000000" w:themeColor="text1"/>
          <w:sz w:val="20"/>
          <w:szCs w:val="20"/>
        </w:rPr>
        <w:t xml:space="preserve">We see limitations in what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 as a technological tool - can do alone, and show how technology facilitating groundwater intervention must exist within a larger program targeting social and economic aspects of groundwater management.</w:t>
      </w:r>
    </w:p>
    <w:p w14:paraId="4BAE1A6F"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7138F428" w14:textId="77777777" w:rsidR="00D82567" w:rsidRPr="00D82567" w:rsidRDefault="00D82567" w:rsidP="00D82567">
      <w:pPr>
        <w:spacing w:after="0" w:line="240" w:lineRule="auto"/>
        <w:contextualSpacing/>
        <w:jc w:val="both"/>
        <w:rPr>
          <w:rFonts w:ascii="Times New Roman" w:hAnsi="Times New Roman" w:cs="Times New Roman"/>
          <w:b/>
          <w:color w:val="000000" w:themeColor="text1"/>
          <w:sz w:val="20"/>
          <w:szCs w:val="20"/>
        </w:rPr>
      </w:pPr>
      <w:r w:rsidRPr="00D82567">
        <w:rPr>
          <w:rFonts w:ascii="Times New Roman" w:hAnsi="Times New Roman" w:cs="Times New Roman"/>
          <w:b/>
          <w:color w:val="000000" w:themeColor="text1"/>
          <w:sz w:val="20"/>
          <w:szCs w:val="20"/>
        </w:rPr>
        <w:t>Future</w:t>
      </w:r>
    </w:p>
    <w:p w14:paraId="30FB8896"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3CB3A541"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r w:rsidRPr="00D82567">
        <w:rPr>
          <w:rFonts w:ascii="Times New Roman" w:hAnsi="Times New Roman" w:cs="Times New Roman"/>
          <w:color w:val="000000" w:themeColor="text1"/>
          <w:sz w:val="20"/>
          <w:szCs w:val="20"/>
        </w:rPr>
        <w:t xml:space="preserve">While this study evaluates </w:t>
      </w:r>
      <w:proofErr w:type="spellStart"/>
      <w:r w:rsidRPr="00D82567">
        <w:rPr>
          <w:rFonts w:ascii="Times New Roman" w:hAnsi="Times New Roman" w:cs="Times New Roman"/>
          <w:color w:val="000000" w:themeColor="text1"/>
          <w:sz w:val="20"/>
          <w:szCs w:val="20"/>
        </w:rPr>
        <w:t>MyWell's</w:t>
      </w:r>
      <w:proofErr w:type="spellEnd"/>
      <w:r w:rsidRPr="00D82567">
        <w:rPr>
          <w:rFonts w:ascii="Times New Roman" w:hAnsi="Times New Roman" w:cs="Times New Roman"/>
          <w:color w:val="000000" w:themeColor="text1"/>
          <w:sz w:val="20"/>
          <w:szCs w:val="20"/>
        </w:rPr>
        <w:t xml:space="preserve"> use in 2 watersheds in rural India,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is not limited to these places, or even India. Future research and applications of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will translate this approach to other countries, with differing groundwater situations.</w:t>
      </w:r>
    </w:p>
    <w:p w14:paraId="52D78262"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30B1C64A"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r w:rsidRPr="00D82567">
        <w:rPr>
          <w:rFonts w:ascii="Times New Roman" w:hAnsi="Times New Roman" w:cs="Times New Roman"/>
          <w:color w:val="000000" w:themeColor="text1"/>
          <w:sz w:val="20"/>
          <w:szCs w:val="20"/>
        </w:rPr>
        <w:t xml:space="preserve">The value of data collected by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also has considerable network effects, hence scaling up the number of watersheds monitored by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will increase the value of information delivered by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The more insights to be gained from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the more valuable the information gathered is, and the more insights for data-driven action it can deliver across multiple stakeholder levels.</w:t>
      </w:r>
    </w:p>
    <w:p w14:paraId="2F10D2CF" w14:textId="77777777" w:rsidR="00D82567" w:rsidRPr="00D82567" w:rsidRDefault="00D82567" w:rsidP="00D82567">
      <w:pPr>
        <w:spacing w:after="0" w:line="240" w:lineRule="auto"/>
        <w:contextualSpacing/>
        <w:jc w:val="both"/>
        <w:rPr>
          <w:rFonts w:ascii="Times New Roman" w:hAnsi="Times New Roman" w:cs="Times New Roman"/>
          <w:color w:val="000000" w:themeColor="text1"/>
          <w:sz w:val="20"/>
          <w:szCs w:val="20"/>
        </w:rPr>
      </w:pPr>
    </w:p>
    <w:p w14:paraId="33742571" w14:textId="77777777" w:rsidR="00A31B4C" w:rsidRPr="00D82567" w:rsidRDefault="00D82567" w:rsidP="00D82567">
      <w:pPr>
        <w:spacing w:after="0" w:line="240" w:lineRule="auto"/>
        <w:contextualSpacing/>
        <w:jc w:val="both"/>
        <w:rPr>
          <w:rFonts w:ascii="Times New Roman" w:hAnsi="Times New Roman" w:cs="Times New Roman"/>
          <w:b/>
          <w:color w:val="000000" w:themeColor="text1"/>
          <w:sz w:val="20"/>
          <w:szCs w:val="20"/>
        </w:rPr>
      </w:pP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is primarily targeted to smallholder farmers, but the insights it delivers can be used across many levels of groundwater management, from other researchers to policy makers. We would see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 xml:space="preserve"> expand its features and integrations with other platforms to allow for other groundwater stakeholders to glean insights from </w:t>
      </w:r>
      <w:proofErr w:type="spellStart"/>
      <w:r w:rsidRPr="00D82567">
        <w:rPr>
          <w:rFonts w:ascii="Times New Roman" w:hAnsi="Times New Roman" w:cs="Times New Roman"/>
          <w:color w:val="000000" w:themeColor="text1"/>
          <w:sz w:val="20"/>
          <w:szCs w:val="20"/>
        </w:rPr>
        <w:t>MyWell</w:t>
      </w:r>
      <w:proofErr w:type="spellEnd"/>
      <w:r w:rsidRPr="00D82567">
        <w:rPr>
          <w:rFonts w:ascii="Times New Roman" w:hAnsi="Times New Roman" w:cs="Times New Roman"/>
          <w:color w:val="000000" w:themeColor="text1"/>
          <w:sz w:val="20"/>
          <w:szCs w:val="20"/>
        </w:rPr>
        <w:t>.</w:t>
      </w:r>
    </w:p>
    <w:p w14:paraId="09CD3C84" w14:textId="77777777" w:rsidR="00A31B4C" w:rsidRDefault="00A31B4C" w:rsidP="00A31B4C">
      <w:pPr>
        <w:pStyle w:val="ListParagraph"/>
        <w:rPr>
          <w:rFonts w:ascii="Times New Roman" w:hAnsi="Times New Roman" w:cs="Times New Roman"/>
          <w:b/>
          <w:color w:val="4472C4" w:themeColor="accent5"/>
          <w:sz w:val="20"/>
          <w:szCs w:val="20"/>
        </w:rPr>
      </w:pPr>
    </w:p>
    <w:p w14:paraId="21974CFA" w14:textId="77777777" w:rsidR="00A31B4C" w:rsidRPr="00A31B4C" w:rsidRDefault="00A31B4C" w:rsidP="00A31B4C">
      <w:pPr>
        <w:spacing w:after="0" w:line="240" w:lineRule="auto"/>
        <w:ind w:left="720"/>
        <w:contextualSpacing/>
        <w:jc w:val="both"/>
        <w:rPr>
          <w:rFonts w:ascii="Times New Roman" w:hAnsi="Times New Roman" w:cs="Times New Roman"/>
          <w:b/>
          <w:color w:val="4472C4" w:themeColor="accent5"/>
          <w:sz w:val="20"/>
          <w:szCs w:val="20"/>
        </w:rPr>
      </w:pPr>
    </w:p>
    <w:p w14:paraId="4470CF10" w14:textId="77777777" w:rsidR="00A31B4C" w:rsidRPr="00A31B4C" w:rsidRDefault="00A31B4C" w:rsidP="00A31B4C">
      <w:pPr>
        <w:spacing w:after="0" w:line="240" w:lineRule="auto"/>
        <w:contextualSpacing/>
        <w:jc w:val="both"/>
        <w:rPr>
          <w:rFonts w:ascii="Times New Roman" w:eastAsia="Times New Roman" w:hAnsi="Times New Roman" w:cs="Times New Roman"/>
          <w:b/>
          <w:bCs/>
          <w:color w:val="000000" w:themeColor="text1"/>
          <w:sz w:val="20"/>
          <w:szCs w:val="20"/>
          <w:lang w:eastAsia="fr-CH"/>
        </w:rPr>
      </w:pPr>
      <w:commentRangeStart w:id="2"/>
      <w:r w:rsidRPr="00A31B4C">
        <w:rPr>
          <w:rFonts w:ascii="Times New Roman" w:eastAsia="Times New Roman" w:hAnsi="Times New Roman" w:cs="Times New Roman"/>
          <w:b/>
          <w:bCs/>
          <w:color w:val="000000" w:themeColor="text1"/>
          <w:sz w:val="20"/>
          <w:szCs w:val="20"/>
          <w:lang w:eastAsia="fr-CH"/>
        </w:rPr>
        <w:t>References</w:t>
      </w:r>
      <w:commentRangeEnd w:id="2"/>
      <w:r w:rsidR="00D82567">
        <w:rPr>
          <w:rStyle w:val="CommentReference"/>
        </w:rPr>
        <w:commentReference w:id="2"/>
      </w:r>
    </w:p>
    <w:p w14:paraId="36C47427" w14:textId="77777777"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14:paraId="29A8BFC1" w14:textId="77777777"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Book</w:t>
      </w:r>
    </w:p>
    <w:p w14:paraId="49D122CF" w14:textId="77777777"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lang w:val="es-419"/>
        </w:rPr>
        <w:t xml:space="preserve">Calfee, R. C., &amp; Valencia, R. R. (1991). </w:t>
      </w:r>
      <w:r w:rsidRPr="00A31B4C">
        <w:rPr>
          <w:rFonts w:ascii="Times New Roman" w:hAnsi="Times New Roman" w:cs="Times New Roman"/>
          <w:b/>
          <w:color w:val="4472C4" w:themeColor="accent5"/>
          <w:sz w:val="20"/>
          <w:szCs w:val="20"/>
        </w:rPr>
        <w:t>APA guide to preparing manuscripts for journal publication. Washington, DC: American Psychological Association.</w:t>
      </w:r>
    </w:p>
    <w:p w14:paraId="773134EA" w14:textId="77777777" w:rsidR="00A31B4C" w:rsidRPr="00A31B4C" w:rsidRDefault="00A31B4C" w:rsidP="00A31B4C">
      <w:pPr>
        <w:spacing w:after="0" w:line="240" w:lineRule="auto"/>
        <w:jc w:val="both"/>
        <w:rPr>
          <w:rFonts w:ascii="Times New Roman" w:hAnsi="Times New Roman" w:cs="Times New Roman"/>
          <w:b/>
          <w:color w:val="4472C4" w:themeColor="accent5"/>
          <w:sz w:val="20"/>
          <w:szCs w:val="20"/>
        </w:rPr>
      </w:pPr>
    </w:p>
    <w:p w14:paraId="35C7ED6B" w14:textId="77777777"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Book chapter</w:t>
      </w:r>
    </w:p>
    <w:p w14:paraId="51EBF7D0" w14:textId="77777777"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 xml:space="preserve">O'Neil, J. M., &amp; Egan, J. (1992). Men's and women's gender role journeys: Metaphor for healing, transition, and transformation. In B. R. </w:t>
      </w:r>
      <w:proofErr w:type="spellStart"/>
      <w:r w:rsidRPr="00A31B4C">
        <w:rPr>
          <w:rFonts w:ascii="Times New Roman" w:hAnsi="Times New Roman" w:cs="Times New Roman"/>
          <w:b/>
          <w:color w:val="4472C4" w:themeColor="accent5"/>
          <w:sz w:val="20"/>
          <w:szCs w:val="20"/>
        </w:rPr>
        <w:t>Wainrib</w:t>
      </w:r>
      <w:proofErr w:type="spellEnd"/>
      <w:r w:rsidRPr="00A31B4C">
        <w:rPr>
          <w:rFonts w:ascii="Times New Roman" w:hAnsi="Times New Roman" w:cs="Times New Roman"/>
          <w:b/>
          <w:color w:val="4472C4" w:themeColor="accent5"/>
          <w:sz w:val="20"/>
          <w:szCs w:val="20"/>
        </w:rPr>
        <w:t xml:space="preserve"> (Ed.), Gender issues across the life cycle (pp. 107–123). New York: Springer.</w:t>
      </w:r>
    </w:p>
    <w:p w14:paraId="648ECD83" w14:textId="77777777" w:rsidR="00A31B4C" w:rsidRPr="00A31B4C" w:rsidRDefault="00A31B4C" w:rsidP="00A31B4C">
      <w:pPr>
        <w:spacing w:after="0" w:line="240" w:lineRule="auto"/>
        <w:jc w:val="both"/>
        <w:rPr>
          <w:rFonts w:ascii="Times New Roman" w:hAnsi="Times New Roman" w:cs="Times New Roman"/>
          <w:b/>
          <w:color w:val="4472C4" w:themeColor="accent5"/>
          <w:sz w:val="20"/>
          <w:szCs w:val="20"/>
        </w:rPr>
      </w:pPr>
    </w:p>
    <w:p w14:paraId="556F0A75" w14:textId="77777777"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Journal article</w:t>
      </w:r>
    </w:p>
    <w:p w14:paraId="1FF10B9D" w14:textId="77777777"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 xml:space="preserve">Harris, M., </w:t>
      </w:r>
      <w:proofErr w:type="spellStart"/>
      <w:r w:rsidRPr="00A31B4C">
        <w:rPr>
          <w:rFonts w:ascii="Times New Roman" w:hAnsi="Times New Roman" w:cs="Times New Roman"/>
          <w:b/>
          <w:color w:val="4472C4" w:themeColor="accent5"/>
          <w:sz w:val="20"/>
          <w:szCs w:val="20"/>
        </w:rPr>
        <w:t>Karper</w:t>
      </w:r>
      <w:proofErr w:type="spellEnd"/>
      <w:r w:rsidRPr="00A31B4C">
        <w:rPr>
          <w:rFonts w:ascii="Times New Roman" w:hAnsi="Times New Roman" w:cs="Times New Roman"/>
          <w:b/>
          <w:color w:val="4472C4" w:themeColor="accent5"/>
          <w:sz w:val="20"/>
          <w:szCs w:val="20"/>
        </w:rPr>
        <w:t xml:space="preserve">, E., Stacks, G., Hoffman, D., </w:t>
      </w:r>
      <w:proofErr w:type="spellStart"/>
      <w:r w:rsidRPr="00A31B4C">
        <w:rPr>
          <w:rFonts w:ascii="Times New Roman" w:hAnsi="Times New Roman" w:cs="Times New Roman"/>
          <w:b/>
          <w:color w:val="4472C4" w:themeColor="accent5"/>
          <w:sz w:val="20"/>
          <w:szCs w:val="20"/>
        </w:rPr>
        <w:t>DeNiro</w:t>
      </w:r>
      <w:proofErr w:type="spellEnd"/>
      <w:r w:rsidRPr="00A31B4C">
        <w:rPr>
          <w:rFonts w:ascii="Times New Roman" w:hAnsi="Times New Roman" w:cs="Times New Roman"/>
          <w:b/>
          <w:color w:val="4472C4" w:themeColor="accent5"/>
          <w:sz w:val="20"/>
          <w:szCs w:val="20"/>
        </w:rPr>
        <w:t>, R., Cruz, P., et al. (2001). Writing labs and the Hollywood connection. Journal of Film Writing, 44(3), 213–245.</w:t>
      </w:r>
    </w:p>
    <w:p w14:paraId="7D574918" w14:textId="77777777" w:rsidR="00A31B4C" w:rsidRPr="00A31B4C" w:rsidRDefault="00A31B4C" w:rsidP="00A31B4C">
      <w:pPr>
        <w:spacing w:after="0" w:line="240" w:lineRule="auto"/>
        <w:jc w:val="both"/>
        <w:rPr>
          <w:rFonts w:ascii="Times New Roman" w:hAnsi="Times New Roman" w:cs="Times New Roman"/>
          <w:b/>
          <w:color w:val="4472C4" w:themeColor="accent5"/>
          <w:sz w:val="20"/>
          <w:szCs w:val="20"/>
        </w:rPr>
      </w:pPr>
    </w:p>
    <w:p w14:paraId="189C0D5D" w14:textId="77777777" w:rsidR="00A31B4C" w:rsidRPr="00A31B4C" w:rsidRDefault="00A31B4C" w:rsidP="00A31B4C">
      <w:pPr>
        <w:spacing w:after="0" w:line="240" w:lineRule="auto"/>
        <w:jc w:val="both"/>
        <w:rPr>
          <w:rFonts w:ascii="Times New Roman" w:hAnsi="Times New Roman" w:cs="Times New Roman"/>
          <w:b/>
          <w:color w:val="4472C4" w:themeColor="accent5"/>
          <w:sz w:val="20"/>
          <w:szCs w:val="20"/>
        </w:rPr>
      </w:pPr>
      <w:r w:rsidRPr="00A31B4C">
        <w:rPr>
          <w:rFonts w:ascii="Times New Roman" w:hAnsi="Times New Roman" w:cs="Times New Roman"/>
          <w:b/>
          <w:color w:val="4472C4" w:themeColor="accent5"/>
          <w:sz w:val="20"/>
          <w:szCs w:val="20"/>
        </w:rPr>
        <w:t xml:space="preserve">Online document </w:t>
      </w:r>
    </w:p>
    <w:p w14:paraId="35B97523" w14:textId="77777777" w:rsidR="00A31B4C" w:rsidRPr="00A31B4C" w:rsidRDefault="00A31B4C" w:rsidP="00A31B4C">
      <w:pPr>
        <w:spacing w:after="0" w:line="240" w:lineRule="auto"/>
        <w:jc w:val="both"/>
        <w:rPr>
          <w:rFonts w:ascii="Times New Roman" w:hAnsi="Times New Roman" w:cs="Times New Roman"/>
          <w:b/>
          <w:color w:val="4472C4" w:themeColor="accent5"/>
          <w:sz w:val="20"/>
          <w:szCs w:val="20"/>
        </w:rPr>
      </w:pPr>
      <w:proofErr w:type="spellStart"/>
      <w:r w:rsidRPr="00A31B4C">
        <w:rPr>
          <w:rFonts w:ascii="Times New Roman" w:hAnsi="Times New Roman" w:cs="Times New Roman"/>
          <w:b/>
          <w:color w:val="4472C4" w:themeColor="accent5"/>
          <w:sz w:val="20"/>
          <w:szCs w:val="20"/>
        </w:rPr>
        <w:lastRenderedPageBreak/>
        <w:t>Abou-Allaban</w:t>
      </w:r>
      <w:proofErr w:type="spellEnd"/>
      <w:r w:rsidRPr="00A31B4C">
        <w:rPr>
          <w:rFonts w:ascii="Times New Roman" w:hAnsi="Times New Roman" w:cs="Times New Roman"/>
          <w:b/>
          <w:color w:val="4472C4" w:themeColor="accent5"/>
          <w:sz w:val="20"/>
          <w:szCs w:val="20"/>
        </w:rPr>
        <w:t xml:space="preserve">, Y., Dell, M. L., Greenberg, W., Lomax, J., </w:t>
      </w:r>
      <w:proofErr w:type="spellStart"/>
      <w:r w:rsidRPr="00A31B4C">
        <w:rPr>
          <w:rFonts w:ascii="Times New Roman" w:hAnsi="Times New Roman" w:cs="Times New Roman"/>
          <w:b/>
          <w:color w:val="4472C4" w:themeColor="accent5"/>
          <w:sz w:val="20"/>
          <w:szCs w:val="20"/>
        </w:rPr>
        <w:t>Peteet</w:t>
      </w:r>
      <w:proofErr w:type="spellEnd"/>
      <w:r w:rsidRPr="00A31B4C">
        <w:rPr>
          <w:rFonts w:ascii="Times New Roman" w:hAnsi="Times New Roman" w:cs="Times New Roman"/>
          <w:b/>
          <w:color w:val="4472C4" w:themeColor="accent5"/>
          <w:sz w:val="20"/>
          <w:szCs w:val="20"/>
        </w:rPr>
        <w:t>, J., Torres, M., &amp; Cowell, V. (2006). Religious/spiritual commitments and psychiatric practice. Resource document. American Psychiatric Association. http://www.psych.org/edu/other_res/lib_archives/archives/200604.pdf. Accessed 25 June 2007.</w:t>
      </w:r>
    </w:p>
    <w:p w14:paraId="26CF9D14" w14:textId="77777777"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14:paraId="05C9C82F" w14:textId="77777777" w:rsidR="00A31B4C" w:rsidRPr="00A31B4C" w:rsidRDefault="00A31B4C" w:rsidP="00A31B4C">
      <w:pPr>
        <w:spacing w:after="0" w:line="240" w:lineRule="auto"/>
        <w:jc w:val="both"/>
        <w:rPr>
          <w:rFonts w:ascii="Times New Roman" w:eastAsia="Times New Roman" w:hAnsi="Times New Roman" w:cs="Times New Roman"/>
          <w:b/>
          <w:bCs/>
          <w:color w:val="4472C4" w:themeColor="accent5"/>
          <w:sz w:val="20"/>
          <w:szCs w:val="20"/>
          <w:lang w:eastAsia="fr-CH"/>
        </w:rPr>
      </w:pPr>
    </w:p>
    <w:p w14:paraId="2911643B" w14:textId="77777777" w:rsidR="00A31B4C" w:rsidRPr="00A31B4C" w:rsidRDefault="00A31B4C" w:rsidP="00A31B4C">
      <w:pPr>
        <w:spacing w:after="0" w:line="240" w:lineRule="auto"/>
        <w:jc w:val="center"/>
        <w:rPr>
          <w:rFonts w:ascii="Times New Roman" w:eastAsia="Times New Roman" w:hAnsi="Times New Roman" w:cs="Times New Roman"/>
          <w:bCs/>
          <w:color w:val="4472C4" w:themeColor="accent5"/>
          <w:lang w:eastAsia="fr-CH"/>
        </w:rPr>
      </w:pPr>
    </w:p>
    <w:p w14:paraId="1B3EE4E8" w14:textId="77777777" w:rsidR="00A31B4C" w:rsidRPr="00A31B4C" w:rsidRDefault="00A31B4C" w:rsidP="00A31B4C">
      <w:pPr>
        <w:spacing w:after="0" w:line="240" w:lineRule="auto"/>
        <w:jc w:val="center"/>
        <w:rPr>
          <w:rFonts w:ascii="Times New Roman" w:eastAsia="Times New Roman" w:hAnsi="Times New Roman" w:cs="Times New Roman"/>
          <w:bCs/>
          <w:color w:val="4472C4" w:themeColor="accent5"/>
          <w:lang w:eastAsia="fr-CH"/>
        </w:rPr>
      </w:pPr>
    </w:p>
    <w:p w14:paraId="56E057F8" w14:textId="77777777" w:rsidR="00A31B4C" w:rsidRPr="00A31B4C" w:rsidRDefault="00A31B4C" w:rsidP="00A31B4C">
      <w:pPr>
        <w:spacing w:after="0" w:line="240" w:lineRule="auto"/>
        <w:jc w:val="center"/>
        <w:rPr>
          <w:rFonts w:ascii="Times New Roman" w:hAnsi="Times New Roman" w:cs="Times New Roman"/>
          <w:b/>
          <w:color w:val="FF0000"/>
          <w:sz w:val="36"/>
          <w:szCs w:val="20"/>
        </w:rPr>
      </w:pPr>
      <w:r w:rsidRPr="00A31B4C">
        <w:rPr>
          <w:rFonts w:ascii="Times New Roman" w:hAnsi="Times New Roman" w:cs="Times New Roman"/>
          <w:b/>
          <w:color w:val="FF0000"/>
          <w:sz w:val="36"/>
          <w:szCs w:val="20"/>
        </w:rPr>
        <w:t>Please ensure you delete all instructions in blue text prior to submission.</w:t>
      </w:r>
    </w:p>
    <w:p w14:paraId="779BAE11" w14:textId="77777777" w:rsidR="008B5F9C" w:rsidRPr="00A31B4C" w:rsidRDefault="008B5F9C">
      <w:pPr>
        <w:rPr>
          <w:color w:val="4472C4" w:themeColor="accent5"/>
        </w:rPr>
      </w:pPr>
    </w:p>
    <w:sectPr w:rsidR="008B5F9C" w:rsidRPr="00A31B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ewis Daly" w:date="2018-01-01T15:58:00Z" w:initials="LD">
    <w:p w14:paraId="3BE1F85A" w14:textId="77777777" w:rsidR="00D82567" w:rsidRDefault="00D82567">
      <w:pPr>
        <w:pStyle w:val="CommentText"/>
      </w:pPr>
      <w:r>
        <w:rPr>
          <w:rStyle w:val="CommentReference"/>
        </w:rPr>
        <w:annotationRef/>
      </w:r>
      <w:r>
        <w:t>I’ll do this once the extended abstract is done.</w:t>
      </w:r>
    </w:p>
  </w:comment>
  <w:comment w:id="2" w:author="Lewis Daly" w:date="2018-01-01T15:58:00Z" w:initials="LD">
    <w:p w14:paraId="67016B16" w14:textId="77777777" w:rsidR="00D82567" w:rsidRDefault="00D82567">
      <w:pPr>
        <w:pStyle w:val="CommentText"/>
      </w:pPr>
      <w:r>
        <w:rPr>
          <w:rStyle w:val="CommentReference"/>
        </w:rPr>
        <w:annotationRef/>
      </w:r>
      <w:r>
        <w:t>I’ll do this one later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1F85A" w15:done="0"/>
  <w15:commentEx w15:paraId="67016B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panose1 w:val="020B0609070205080204"/>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25310"/>
    <w:multiLevelType w:val="hybridMultilevel"/>
    <w:tmpl w:val="A6E8BE3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nsid w:val="36CF53A1"/>
    <w:multiLevelType w:val="hybridMultilevel"/>
    <w:tmpl w:val="6C404890"/>
    <w:lvl w:ilvl="0" w:tplc="D0D633E4">
      <w:start w:val="1"/>
      <w:numFmt w:val="bullet"/>
      <w:lvlText w:val=""/>
      <w:lvlJc w:val="left"/>
      <w:pPr>
        <w:ind w:left="1440" w:hanging="360"/>
      </w:pPr>
      <w:rPr>
        <w:rFonts w:ascii="Wingdings 2" w:hAnsi="Wingdings 2"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
    <w:nsid w:val="48B341A6"/>
    <w:multiLevelType w:val="hybridMultilevel"/>
    <w:tmpl w:val="2FA2DB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wis Daly">
    <w15:presenceInfo w15:providerId="None" w15:userId="Lewis Da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B4C"/>
    <w:rsid w:val="001A723A"/>
    <w:rsid w:val="001D3CEE"/>
    <w:rsid w:val="004464B7"/>
    <w:rsid w:val="0054094B"/>
    <w:rsid w:val="007B7594"/>
    <w:rsid w:val="00804C93"/>
    <w:rsid w:val="008B5F9C"/>
    <w:rsid w:val="008B7B81"/>
    <w:rsid w:val="00A31B4C"/>
    <w:rsid w:val="00AD2D2F"/>
    <w:rsid w:val="00C86E78"/>
    <w:rsid w:val="00CF1A53"/>
    <w:rsid w:val="00D82567"/>
    <w:rsid w:val="00EF1645"/>
  </w:rsids>
  <m:mathPr>
    <m:mathFont m:val="Cambria Math"/>
    <m:brkBin m:val="before"/>
    <m:brkBinSub m:val="--"/>
    <m:smallFrac m:val="0"/>
    <m:dispDef/>
    <m:lMargin m:val="0"/>
    <m:rMargin m:val="0"/>
    <m:defJc m:val="centerGroup"/>
    <m:wrapIndent m:val="1440"/>
    <m:intLim m:val="subSup"/>
    <m:naryLim m:val="undOvr"/>
  </m:mathPr>
  <w:themeFontLang w:val="fr-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02F2"/>
  <w15:chartTrackingRefBased/>
  <w15:docId w15:val="{8E455462-0B46-4960-9849-487325E8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1B4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B4C"/>
    <w:pPr>
      <w:ind w:left="720"/>
      <w:contextualSpacing/>
    </w:pPr>
  </w:style>
  <w:style w:type="character" w:styleId="Strong">
    <w:name w:val="Strong"/>
    <w:basedOn w:val="DefaultParagraphFont"/>
    <w:uiPriority w:val="22"/>
    <w:qFormat/>
    <w:rsid w:val="00A31B4C"/>
    <w:rPr>
      <w:b/>
      <w:bCs/>
    </w:rPr>
  </w:style>
  <w:style w:type="character" w:styleId="CommentReference">
    <w:name w:val="annotation reference"/>
    <w:basedOn w:val="DefaultParagraphFont"/>
    <w:uiPriority w:val="99"/>
    <w:semiHidden/>
    <w:unhideWhenUsed/>
    <w:rsid w:val="00D82567"/>
    <w:rPr>
      <w:sz w:val="18"/>
      <w:szCs w:val="18"/>
    </w:rPr>
  </w:style>
  <w:style w:type="paragraph" w:styleId="CommentText">
    <w:name w:val="annotation text"/>
    <w:basedOn w:val="Normal"/>
    <w:link w:val="CommentTextChar"/>
    <w:uiPriority w:val="99"/>
    <w:semiHidden/>
    <w:unhideWhenUsed/>
    <w:rsid w:val="00D82567"/>
    <w:pPr>
      <w:spacing w:line="240" w:lineRule="auto"/>
    </w:pPr>
    <w:rPr>
      <w:sz w:val="24"/>
      <w:szCs w:val="24"/>
    </w:rPr>
  </w:style>
  <w:style w:type="character" w:customStyle="1" w:styleId="CommentTextChar">
    <w:name w:val="Comment Text Char"/>
    <w:basedOn w:val="DefaultParagraphFont"/>
    <w:link w:val="CommentText"/>
    <w:uiPriority w:val="99"/>
    <w:semiHidden/>
    <w:rsid w:val="00D82567"/>
    <w:rPr>
      <w:sz w:val="24"/>
      <w:szCs w:val="24"/>
      <w:lang w:val="en-US"/>
    </w:rPr>
  </w:style>
  <w:style w:type="paragraph" w:styleId="CommentSubject">
    <w:name w:val="annotation subject"/>
    <w:basedOn w:val="CommentText"/>
    <w:next w:val="CommentText"/>
    <w:link w:val="CommentSubjectChar"/>
    <w:uiPriority w:val="99"/>
    <w:semiHidden/>
    <w:unhideWhenUsed/>
    <w:rsid w:val="00D82567"/>
    <w:rPr>
      <w:b/>
      <w:bCs/>
      <w:sz w:val="20"/>
      <w:szCs w:val="20"/>
    </w:rPr>
  </w:style>
  <w:style w:type="character" w:customStyle="1" w:styleId="CommentSubjectChar">
    <w:name w:val="Comment Subject Char"/>
    <w:basedOn w:val="CommentTextChar"/>
    <w:link w:val="CommentSubject"/>
    <w:uiPriority w:val="99"/>
    <w:semiHidden/>
    <w:rsid w:val="00D82567"/>
    <w:rPr>
      <w:b/>
      <w:bCs/>
      <w:sz w:val="20"/>
      <w:szCs w:val="20"/>
      <w:lang w:val="en-US"/>
    </w:rPr>
  </w:style>
  <w:style w:type="paragraph" w:styleId="BalloonText">
    <w:name w:val="Balloon Text"/>
    <w:basedOn w:val="Normal"/>
    <w:link w:val="BalloonTextChar"/>
    <w:uiPriority w:val="99"/>
    <w:semiHidden/>
    <w:unhideWhenUsed/>
    <w:rsid w:val="00D825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2567"/>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1474</Words>
  <Characters>8404</Characters>
  <Application>Microsoft Macintosh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Kagi Alfredo</dc:creator>
  <cp:keywords/>
  <dc:description/>
  <cp:lastModifiedBy>Lewis Daly</cp:lastModifiedBy>
  <cp:revision>11</cp:revision>
  <dcterms:created xsi:type="dcterms:W3CDTF">2017-11-08T13:35:00Z</dcterms:created>
  <dcterms:modified xsi:type="dcterms:W3CDTF">2018-01-01T07:58:00Z</dcterms:modified>
</cp:coreProperties>
</file>