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556D" w14:textId="77777777" w:rsidR="008619E5" w:rsidRDefault="00000000">
      <w:pPr>
        <w:pStyle w:val="Heading1"/>
      </w:pPr>
      <w:r>
        <w:t>Background</w:t>
      </w:r>
    </w:p>
    <w:p w14:paraId="4A005B84" w14:textId="77777777" w:rsidR="0059624E" w:rsidRDefault="0059624E" w:rsidP="0059624E">
      <w:pPr>
        <w:pStyle w:val="Heading1"/>
        <w:rPr>
          <w:rFonts w:ascii="Times New Roman" w:hAnsi="Times New Roman" w:cs="Times New Roman"/>
          <w:b w:val="0"/>
          <w:bCs w:val="0"/>
          <w:color w:val="auto"/>
          <w:sz w:val="24"/>
          <w:szCs w:val="24"/>
        </w:rPr>
      </w:pPr>
      <w:r w:rsidRPr="0059624E">
        <w:rPr>
          <w:rFonts w:ascii="Times New Roman" w:hAnsi="Times New Roman" w:cs="Times New Roman"/>
          <w:b w:val="0"/>
          <w:bCs w:val="0"/>
          <w:color w:val="auto"/>
          <w:sz w:val="24"/>
          <w:szCs w:val="24"/>
        </w:rPr>
        <w:t xml:space="preserve">Late last year, Pfizer Inc. Finalized its $43 billion acquisition of </w:t>
      </w:r>
      <w:proofErr w:type="spellStart"/>
      <w:r w:rsidRPr="0059624E">
        <w:rPr>
          <w:rFonts w:ascii="Times New Roman" w:hAnsi="Times New Roman" w:cs="Times New Roman"/>
          <w:b w:val="0"/>
          <w:bCs w:val="0"/>
          <w:color w:val="auto"/>
          <w:sz w:val="24"/>
          <w:szCs w:val="24"/>
        </w:rPr>
        <w:t>Seagen</w:t>
      </w:r>
      <w:proofErr w:type="spellEnd"/>
      <w:r w:rsidRPr="0059624E">
        <w:rPr>
          <w:rFonts w:ascii="Times New Roman" w:hAnsi="Times New Roman" w:cs="Times New Roman"/>
          <w:b w:val="0"/>
          <w:bCs w:val="0"/>
          <w:color w:val="auto"/>
          <w:sz w:val="24"/>
          <w:szCs w:val="24"/>
        </w:rPr>
        <w:t xml:space="preserve"> Inc., representing the largest biopharmaceutical M&amp;A transaction since AbbVie acquired Allergan in a $63 billion deal in 2019 and the cornerstone of Pfizer's efforts to rebuild its decimated oncology franchise following significant post-pandemic revenue declines. It effectively doubled Pfizer’s oncology pipeline to 60 programs and added </w:t>
      </w:r>
      <w:proofErr w:type="spellStart"/>
      <w:r w:rsidRPr="0059624E">
        <w:rPr>
          <w:rFonts w:ascii="Times New Roman" w:hAnsi="Times New Roman" w:cs="Times New Roman"/>
          <w:b w:val="0"/>
          <w:bCs w:val="0"/>
          <w:color w:val="auto"/>
          <w:sz w:val="24"/>
          <w:szCs w:val="24"/>
        </w:rPr>
        <w:t>Seagen’s</w:t>
      </w:r>
      <w:proofErr w:type="spellEnd"/>
      <w:r w:rsidRPr="0059624E">
        <w:rPr>
          <w:rFonts w:ascii="Times New Roman" w:hAnsi="Times New Roman" w:cs="Times New Roman"/>
          <w:b w:val="0"/>
          <w:bCs w:val="0"/>
          <w:color w:val="auto"/>
          <w:sz w:val="24"/>
          <w:szCs w:val="24"/>
        </w:rPr>
        <w:t xml:space="preserve"> four marketed antibody-drug conjugates (ADCs)-ADCETRIS, PADCEV, TIVDAK, and TUKYSA-to its portfolio. Pfizer funded the deal using some $31 billion in long-term debt, and another $8 billion in commercial paper, bringing its total debt load from $35.8 billion to $71.9 billion nearly 2x. The company expects </w:t>
      </w:r>
      <w:proofErr w:type="spellStart"/>
      <w:r w:rsidRPr="0059624E">
        <w:rPr>
          <w:rFonts w:ascii="Times New Roman" w:hAnsi="Times New Roman" w:cs="Times New Roman"/>
          <w:b w:val="0"/>
          <w:bCs w:val="0"/>
          <w:color w:val="auto"/>
          <w:sz w:val="24"/>
          <w:szCs w:val="24"/>
        </w:rPr>
        <w:t>Seagen's</w:t>
      </w:r>
      <w:proofErr w:type="spellEnd"/>
      <w:r w:rsidRPr="0059624E">
        <w:rPr>
          <w:rFonts w:ascii="Times New Roman" w:hAnsi="Times New Roman" w:cs="Times New Roman"/>
          <w:b w:val="0"/>
          <w:bCs w:val="0"/>
          <w:color w:val="auto"/>
          <w:sz w:val="24"/>
          <w:szCs w:val="24"/>
        </w:rPr>
        <w:t xml:space="preserve"> ADC franchise to deliver over $10 billion in risk-adjusted revenue by 2030, as well as about $1 billion in annual cost synergies by 2026, per Pfizer Inc. (2023a; 2023b). This is a simple strategic rationale: Pfizer is in danger of seeing nearly $17 billion of its revenue lost to patents expirations on products like Eliquis, </w:t>
      </w:r>
      <w:proofErr w:type="spellStart"/>
      <w:r w:rsidRPr="0059624E">
        <w:rPr>
          <w:rFonts w:ascii="Times New Roman" w:hAnsi="Times New Roman" w:cs="Times New Roman"/>
          <w:b w:val="0"/>
          <w:bCs w:val="0"/>
          <w:color w:val="auto"/>
          <w:sz w:val="24"/>
          <w:szCs w:val="24"/>
        </w:rPr>
        <w:t>Ibrance</w:t>
      </w:r>
      <w:proofErr w:type="spellEnd"/>
      <w:r w:rsidRPr="0059624E">
        <w:rPr>
          <w:rFonts w:ascii="Times New Roman" w:hAnsi="Times New Roman" w:cs="Times New Roman"/>
          <w:b w:val="0"/>
          <w:bCs w:val="0"/>
          <w:color w:val="auto"/>
          <w:sz w:val="24"/>
          <w:szCs w:val="24"/>
        </w:rPr>
        <w:t xml:space="preserve">, and Xeljanz through 2030, and </w:t>
      </w:r>
      <w:proofErr w:type="spellStart"/>
      <w:r w:rsidRPr="0059624E">
        <w:rPr>
          <w:rFonts w:ascii="Times New Roman" w:hAnsi="Times New Roman" w:cs="Times New Roman"/>
          <w:b w:val="0"/>
          <w:bCs w:val="0"/>
          <w:color w:val="auto"/>
          <w:sz w:val="24"/>
          <w:szCs w:val="24"/>
        </w:rPr>
        <w:t>Seagen’s</w:t>
      </w:r>
      <w:proofErr w:type="spellEnd"/>
      <w:r w:rsidRPr="0059624E">
        <w:rPr>
          <w:rFonts w:ascii="Times New Roman" w:hAnsi="Times New Roman" w:cs="Times New Roman"/>
          <w:b w:val="0"/>
          <w:bCs w:val="0"/>
          <w:color w:val="auto"/>
          <w:sz w:val="24"/>
          <w:szCs w:val="24"/>
        </w:rPr>
        <w:t xml:space="preserve"> unique ADC linker-payload platform-complemented by Pfizer’s comprehensive antibody library-is intended to transition Pfizer to a global leader in precision oncology rather than a company in patent-expired decline. </w:t>
      </w:r>
    </w:p>
    <w:p w14:paraId="7EF2A2ED" w14:textId="14AF82F3" w:rsidR="0059624E" w:rsidRPr="0059624E" w:rsidRDefault="0059624E" w:rsidP="0059624E">
      <w:pPr>
        <w:pStyle w:val="Heading1"/>
        <w:rPr>
          <w:rFonts w:ascii="Times New Roman" w:hAnsi="Times New Roman" w:cs="Times New Roman"/>
          <w:b w:val="0"/>
          <w:bCs w:val="0"/>
          <w:color w:val="auto"/>
          <w:sz w:val="24"/>
          <w:szCs w:val="24"/>
        </w:rPr>
      </w:pPr>
      <w:r w:rsidRPr="0059624E">
        <w:rPr>
          <w:rFonts w:ascii="Times New Roman" w:hAnsi="Times New Roman" w:cs="Times New Roman"/>
          <w:b w:val="0"/>
          <w:bCs w:val="0"/>
          <w:color w:val="auto"/>
          <w:sz w:val="24"/>
          <w:szCs w:val="24"/>
        </w:rPr>
        <w:t xml:space="preserve">The issue making this transaction an interesting object for an ERM analysis is exactly the gulf between that strategic argument and the risks of executing it. Ultimately, the central question being addressed in this assessment isn’t whether acquiring </w:t>
      </w:r>
      <w:proofErr w:type="spellStart"/>
      <w:r w:rsidRPr="0059624E">
        <w:rPr>
          <w:rFonts w:ascii="Times New Roman" w:hAnsi="Times New Roman" w:cs="Times New Roman"/>
          <w:b w:val="0"/>
          <w:bCs w:val="0"/>
          <w:color w:val="auto"/>
          <w:sz w:val="24"/>
          <w:szCs w:val="24"/>
        </w:rPr>
        <w:t>Seagen</w:t>
      </w:r>
      <w:proofErr w:type="spellEnd"/>
      <w:r w:rsidRPr="0059624E">
        <w:rPr>
          <w:rFonts w:ascii="Times New Roman" w:hAnsi="Times New Roman" w:cs="Times New Roman"/>
          <w:b w:val="0"/>
          <w:bCs w:val="0"/>
          <w:color w:val="auto"/>
          <w:sz w:val="24"/>
          <w:szCs w:val="24"/>
        </w:rPr>
        <w:t xml:space="preserve"> “made sense” on paper-an idea well supported by a range of sources-but rather whether Pfizer can achieve the acquisition’s $10 billion revenue thesis in a fiercely competitive ADC landscape, managing the integration of 3,400-person science-led biotech into an 80,000-person global behemoth, navigating its significantly leveraged balance sheet, and operating within a U.S. Regulatory and reimbursement regime transformed by the IRA. The core risk is the interplay among these factors; for instance, an ambitious approach to capturing cost synergies from an integration could risk losing the scientists the acquisition is built around. Carrying an additional $36 billion in net new debt significantly reduces Pfizer’s flexibility to respond to new competitive threats, while an IRA-influenced pricing crackdown on ADCETRIS and future </w:t>
      </w:r>
      <w:proofErr w:type="spellStart"/>
      <w:r w:rsidRPr="0059624E">
        <w:rPr>
          <w:rFonts w:ascii="Times New Roman" w:hAnsi="Times New Roman" w:cs="Times New Roman"/>
          <w:b w:val="0"/>
          <w:bCs w:val="0"/>
          <w:color w:val="auto"/>
          <w:sz w:val="24"/>
          <w:szCs w:val="24"/>
        </w:rPr>
        <w:t>Seagen</w:t>
      </w:r>
      <w:proofErr w:type="spellEnd"/>
      <w:r w:rsidRPr="0059624E">
        <w:rPr>
          <w:rFonts w:ascii="Times New Roman" w:hAnsi="Times New Roman" w:cs="Times New Roman"/>
          <w:b w:val="0"/>
          <w:bCs w:val="0"/>
          <w:color w:val="auto"/>
          <w:sz w:val="24"/>
          <w:szCs w:val="24"/>
        </w:rPr>
        <w:t xml:space="preserve">-developed products could directly impact the $10 billion revenue goal that justified this transaction's enormous premium over </w:t>
      </w:r>
      <w:proofErr w:type="spellStart"/>
      <w:r w:rsidRPr="0059624E">
        <w:rPr>
          <w:rFonts w:ascii="Times New Roman" w:hAnsi="Times New Roman" w:cs="Times New Roman"/>
          <w:b w:val="0"/>
          <w:bCs w:val="0"/>
          <w:color w:val="auto"/>
          <w:sz w:val="24"/>
          <w:szCs w:val="24"/>
        </w:rPr>
        <w:t>Seagen's</w:t>
      </w:r>
      <w:proofErr w:type="spellEnd"/>
      <w:r w:rsidRPr="0059624E">
        <w:rPr>
          <w:rFonts w:ascii="Times New Roman" w:hAnsi="Times New Roman" w:cs="Times New Roman"/>
          <w:b w:val="0"/>
          <w:bCs w:val="0"/>
          <w:color w:val="auto"/>
          <w:sz w:val="24"/>
          <w:szCs w:val="24"/>
        </w:rPr>
        <w:t xml:space="preserve"> market valuation. </w:t>
      </w:r>
    </w:p>
    <w:p w14:paraId="6441AA92" w14:textId="60F7C3CA" w:rsidR="0059624E" w:rsidRPr="0059624E" w:rsidRDefault="0059624E" w:rsidP="0059624E">
      <w:pPr>
        <w:pStyle w:val="Heading1"/>
        <w:rPr>
          <w:rFonts w:ascii="Times New Roman" w:hAnsi="Times New Roman" w:cs="Times New Roman"/>
          <w:b w:val="0"/>
          <w:bCs w:val="0"/>
          <w:color w:val="auto"/>
          <w:sz w:val="24"/>
          <w:szCs w:val="24"/>
        </w:rPr>
      </w:pPr>
      <w:r w:rsidRPr="0059624E">
        <w:rPr>
          <w:rFonts w:ascii="Times New Roman" w:hAnsi="Times New Roman" w:cs="Times New Roman"/>
          <w:b w:val="0"/>
          <w:bCs w:val="0"/>
          <w:color w:val="auto"/>
          <w:sz w:val="24"/>
          <w:szCs w:val="24"/>
        </w:rPr>
        <w:t>The approach taken in this paper views these issues as part of a connected system, consistent with ERM principles under the COSO (2017) and ISO 31000 frameworks, rather than discrete risks. This report builds on a number of prior analyses performed by the team: a SWOT analysis that adapts the “Better SWOT” framework developed by Fleisher and Bensoussan (2015), a qualitative assessment of perceived risks presented in risk register format with impacts and likelihoods quantified; a quantitative deep-dive using the Indicators &amp; Warning (I&amp;W) technique, alongside Monte Carlo simulation; and finally, recommendations on risk responses and the identification of relevant key risk indicators (KRIs). The report integrates, revises and extends these components into a comprehensive single assessment and incorporate specific instructor input and feedback provided at each stage.</w:t>
      </w:r>
      <w:r>
        <w:rPr>
          <w:rFonts w:ascii="Times New Roman" w:hAnsi="Times New Roman" w:cs="Times New Roman"/>
          <w:b w:val="0"/>
          <w:bCs w:val="0"/>
          <w:color w:val="auto"/>
          <w:sz w:val="24"/>
          <w:szCs w:val="24"/>
        </w:rPr>
        <w:t xml:space="preserve"> F</w:t>
      </w:r>
      <w:r w:rsidRPr="0059624E">
        <w:rPr>
          <w:rFonts w:ascii="Times New Roman" w:hAnsi="Times New Roman" w:cs="Times New Roman"/>
          <w:b w:val="0"/>
          <w:bCs w:val="0"/>
          <w:color w:val="auto"/>
          <w:sz w:val="24"/>
          <w:szCs w:val="24"/>
        </w:rPr>
        <w:t xml:space="preserve">or example, the risk register was broadened from its initial set of 16, the KRIs' benchmarks were restated based on published benchmarks rather than the teams' estimations and an inconsistency between the ML heatmap and analyst risk assignments was rectified. The quantitative analysis procedure closely follows </w:t>
      </w:r>
      <w:r w:rsidRPr="0059624E">
        <w:rPr>
          <w:rFonts w:ascii="Times New Roman" w:hAnsi="Times New Roman" w:cs="Times New Roman"/>
          <w:b w:val="0"/>
          <w:bCs w:val="0"/>
          <w:color w:val="auto"/>
          <w:sz w:val="24"/>
          <w:szCs w:val="24"/>
        </w:rPr>
        <w:lastRenderedPageBreak/>
        <w:t xml:space="preserve">the step-by-step description by Khadem, Piya and </w:t>
      </w:r>
      <w:proofErr w:type="spellStart"/>
      <w:r w:rsidRPr="0059624E">
        <w:rPr>
          <w:rFonts w:ascii="Times New Roman" w:hAnsi="Times New Roman" w:cs="Times New Roman"/>
          <w:b w:val="0"/>
          <w:bCs w:val="0"/>
          <w:color w:val="auto"/>
          <w:sz w:val="24"/>
          <w:szCs w:val="24"/>
        </w:rPr>
        <w:t>Shamsuzzoha</w:t>
      </w:r>
      <w:proofErr w:type="spellEnd"/>
      <w:r w:rsidRPr="0059624E">
        <w:rPr>
          <w:rFonts w:ascii="Times New Roman" w:hAnsi="Times New Roman" w:cs="Times New Roman"/>
          <w:b w:val="0"/>
          <w:bCs w:val="0"/>
          <w:color w:val="auto"/>
          <w:sz w:val="24"/>
          <w:szCs w:val="24"/>
        </w:rPr>
        <w:t xml:space="preserve"> (2018), with risk values being transformed into numerical inputs used in Monte Carlo simulations, estimated as triangular distributions, validated using Monte Carlo simulation against qualitative risk priorities, and finally subjected to sensitivity analysis to identify key exposure drivers.</w:t>
      </w:r>
    </w:p>
    <w:p w14:paraId="0EBC0B7F" w14:textId="0892011F" w:rsidR="008619E5" w:rsidRDefault="00000000">
      <w:pPr>
        <w:pStyle w:val="Heading1"/>
      </w:pPr>
      <w:r>
        <w:t>Identification of Risks</w:t>
      </w:r>
    </w:p>
    <w:p w14:paraId="39EA1B8D" w14:textId="7D5586BB" w:rsidR="0059624E" w:rsidRDefault="0059624E" w:rsidP="0059624E">
      <w:pPr>
        <w:spacing w:after="140" w:line="252" w:lineRule="auto"/>
        <w:jc w:val="both"/>
      </w:pPr>
      <w:r>
        <w:t xml:space="preserve">All risks were surfaced through a structured SWOT Analysis of Pfizer's internal strengths and weaknesses and the external opportunities and threats associated with the acquisition of </w:t>
      </w:r>
      <w:proofErr w:type="spellStart"/>
      <w:r>
        <w:t>Seagen</w:t>
      </w:r>
      <w:proofErr w:type="spellEnd"/>
      <w:r>
        <w:t xml:space="preserve">. The SWOT employed the Better SWOT Methodology, in accordance with Fleisher and Bensoussan (2015), framing it as an empirical analytical exercise rather than unstructured brain-dumping to ensure the results were future-looking, accurate, objective and actionable for risk analytics down the line. The individual threats and opportunities were each assessed across the following three criteria to qualify for admission into the risk register: 1) Does it have backing evidence of named competitors, stated deal size, or regulatory documents, versus general commentary of the industry; 2) Is there an observable leading indicator that can be used to track this risk,; and 3) Does this represent an independent risk driver, versus restatement of risk(s) already covered? </w:t>
      </w:r>
    </w:p>
    <w:p w14:paraId="493EC788" w14:textId="551EABBE" w:rsidR="008619E5" w:rsidRDefault="0059624E" w:rsidP="0059624E">
      <w:pPr>
        <w:spacing w:after="140" w:line="252" w:lineRule="auto"/>
        <w:jc w:val="both"/>
      </w:pPr>
      <w:r>
        <w:t xml:space="preserve">Sixteen risks were included in the original draft. Given instructor feedback that the register felt somewhat slim given the size of the transaction, 4 additional risks have been added based on themes identified during the SWOT Analysis that failed to migrate to the quantitative risk register; cybersecurity risk from the integration of systems, risk to ESG and reputational factors from post-acquisition workforce reductions, payer concentration risk and risk arising from purchasing group and individual contract concentration. This has resulted in a 20-risk registry in 5 broad categories of Strategic / Competitive; Operational; Financial; Legal / Regulatory; and Technology / Cyber. All twenty risks are summarized </w:t>
      </w:r>
      <w:proofErr w:type="spellStart"/>
      <w:r>
        <w:t>inTable</w:t>
      </w:r>
      <w:proofErr w:type="spellEnd"/>
      <w:r>
        <w:t xml:space="preserve"> 1with qualitative likelihood and impact ratings (1-10), resultant risk score (likelihood impact) and a final assigned priority level for each risk. Asterisk indicates newly identified risks not included in the previous submission to instructor.</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left w:w="10" w:type="dxa"/>
          <w:right w:w="10" w:type="dxa"/>
        </w:tblCellMar>
        <w:tblLook w:val="0000" w:firstRow="0" w:lastRow="0" w:firstColumn="0" w:lastColumn="0" w:noHBand="0" w:noVBand="0"/>
      </w:tblPr>
      <w:tblGrid>
        <w:gridCol w:w="820"/>
        <w:gridCol w:w="3500"/>
        <w:gridCol w:w="1080"/>
        <w:gridCol w:w="540"/>
        <w:gridCol w:w="540"/>
        <w:gridCol w:w="740"/>
        <w:gridCol w:w="2140"/>
      </w:tblGrid>
      <w:tr w:rsidR="008619E5" w14:paraId="299BECA6" w14:textId="77777777">
        <w:trPr>
          <w:tblHeader/>
        </w:trPr>
        <w:tc>
          <w:tcPr>
            <w:tcW w:w="820" w:type="dxa"/>
            <w:shd w:val="clear" w:color="auto" w:fill="2E5A88"/>
            <w:tcMar>
              <w:top w:w="60" w:type="dxa"/>
              <w:left w:w="90" w:type="dxa"/>
              <w:bottom w:w="60" w:type="dxa"/>
              <w:right w:w="90" w:type="dxa"/>
            </w:tcMar>
            <w:vAlign w:val="center"/>
          </w:tcPr>
          <w:p w14:paraId="08797D68" w14:textId="77777777" w:rsidR="008619E5" w:rsidRDefault="00000000">
            <w:r>
              <w:rPr>
                <w:b/>
                <w:bCs/>
                <w:color w:val="FFFFFF"/>
                <w:sz w:val="17"/>
                <w:szCs w:val="17"/>
              </w:rPr>
              <w:t>ID</w:t>
            </w:r>
          </w:p>
        </w:tc>
        <w:tc>
          <w:tcPr>
            <w:tcW w:w="3500" w:type="dxa"/>
            <w:shd w:val="clear" w:color="auto" w:fill="2E5A88"/>
            <w:tcMar>
              <w:top w:w="60" w:type="dxa"/>
              <w:left w:w="90" w:type="dxa"/>
              <w:bottom w:w="60" w:type="dxa"/>
              <w:right w:w="90" w:type="dxa"/>
            </w:tcMar>
            <w:vAlign w:val="center"/>
          </w:tcPr>
          <w:p w14:paraId="37CCBFD2" w14:textId="77777777" w:rsidR="008619E5" w:rsidRDefault="00000000">
            <w:r>
              <w:rPr>
                <w:b/>
                <w:bCs/>
                <w:color w:val="FFFFFF"/>
                <w:sz w:val="17"/>
                <w:szCs w:val="17"/>
              </w:rPr>
              <w:t>Risk Description</w:t>
            </w:r>
          </w:p>
        </w:tc>
        <w:tc>
          <w:tcPr>
            <w:tcW w:w="1080" w:type="dxa"/>
            <w:shd w:val="clear" w:color="auto" w:fill="2E5A88"/>
            <w:tcMar>
              <w:top w:w="60" w:type="dxa"/>
              <w:left w:w="90" w:type="dxa"/>
              <w:bottom w:w="60" w:type="dxa"/>
              <w:right w:w="90" w:type="dxa"/>
            </w:tcMar>
            <w:vAlign w:val="center"/>
          </w:tcPr>
          <w:p w14:paraId="44E7A83E" w14:textId="77777777" w:rsidR="008619E5" w:rsidRDefault="00000000">
            <w:r>
              <w:rPr>
                <w:b/>
                <w:bCs/>
                <w:color w:val="FFFFFF"/>
                <w:sz w:val="17"/>
                <w:szCs w:val="17"/>
              </w:rPr>
              <w:t>Category</w:t>
            </w:r>
          </w:p>
        </w:tc>
        <w:tc>
          <w:tcPr>
            <w:tcW w:w="540" w:type="dxa"/>
            <w:shd w:val="clear" w:color="auto" w:fill="2E5A88"/>
            <w:tcMar>
              <w:top w:w="60" w:type="dxa"/>
              <w:left w:w="90" w:type="dxa"/>
              <w:bottom w:w="60" w:type="dxa"/>
              <w:right w:w="90" w:type="dxa"/>
            </w:tcMar>
            <w:vAlign w:val="center"/>
          </w:tcPr>
          <w:p w14:paraId="062E1AE8" w14:textId="77777777" w:rsidR="008619E5" w:rsidRDefault="00000000">
            <w:r>
              <w:rPr>
                <w:b/>
                <w:bCs/>
                <w:color w:val="FFFFFF"/>
                <w:sz w:val="17"/>
                <w:szCs w:val="17"/>
              </w:rPr>
              <w:t>L</w:t>
            </w:r>
          </w:p>
        </w:tc>
        <w:tc>
          <w:tcPr>
            <w:tcW w:w="540" w:type="dxa"/>
            <w:shd w:val="clear" w:color="auto" w:fill="2E5A88"/>
            <w:tcMar>
              <w:top w:w="60" w:type="dxa"/>
              <w:left w:w="90" w:type="dxa"/>
              <w:bottom w:w="60" w:type="dxa"/>
              <w:right w:w="90" w:type="dxa"/>
            </w:tcMar>
            <w:vAlign w:val="center"/>
          </w:tcPr>
          <w:p w14:paraId="31CAFB97" w14:textId="77777777" w:rsidR="008619E5" w:rsidRDefault="00000000">
            <w:r>
              <w:rPr>
                <w:b/>
                <w:bCs/>
                <w:color w:val="FFFFFF"/>
                <w:sz w:val="17"/>
                <w:szCs w:val="17"/>
              </w:rPr>
              <w:t>I</w:t>
            </w:r>
          </w:p>
        </w:tc>
        <w:tc>
          <w:tcPr>
            <w:tcW w:w="740" w:type="dxa"/>
            <w:shd w:val="clear" w:color="auto" w:fill="2E5A88"/>
            <w:tcMar>
              <w:top w:w="60" w:type="dxa"/>
              <w:left w:w="90" w:type="dxa"/>
              <w:bottom w:w="60" w:type="dxa"/>
              <w:right w:w="90" w:type="dxa"/>
            </w:tcMar>
            <w:vAlign w:val="center"/>
          </w:tcPr>
          <w:p w14:paraId="5322AA5E" w14:textId="77777777" w:rsidR="008619E5" w:rsidRDefault="00000000">
            <w:r>
              <w:rPr>
                <w:b/>
                <w:bCs/>
                <w:color w:val="FFFFFF"/>
                <w:sz w:val="17"/>
                <w:szCs w:val="17"/>
              </w:rPr>
              <w:t>Score</w:t>
            </w:r>
          </w:p>
        </w:tc>
        <w:tc>
          <w:tcPr>
            <w:tcW w:w="2140" w:type="dxa"/>
            <w:shd w:val="clear" w:color="auto" w:fill="2E5A88"/>
            <w:tcMar>
              <w:top w:w="60" w:type="dxa"/>
              <w:left w:w="90" w:type="dxa"/>
              <w:bottom w:w="60" w:type="dxa"/>
              <w:right w:w="90" w:type="dxa"/>
            </w:tcMar>
            <w:vAlign w:val="center"/>
          </w:tcPr>
          <w:p w14:paraId="73EEC22B" w14:textId="77777777" w:rsidR="008619E5" w:rsidRDefault="00000000">
            <w:r>
              <w:rPr>
                <w:b/>
                <w:bCs/>
                <w:color w:val="FFFFFF"/>
                <w:sz w:val="17"/>
                <w:szCs w:val="17"/>
              </w:rPr>
              <w:t>Priority</w:t>
            </w:r>
          </w:p>
        </w:tc>
      </w:tr>
      <w:tr w:rsidR="008619E5" w14:paraId="5A2D2D1D" w14:textId="77777777">
        <w:tc>
          <w:tcPr>
            <w:tcW w:w="820" w:type="dxa"/>
            <w:tcMar>
              <w:top w:w="50" w:type="dxa"/>
              <w:left w:w="90" w:type="dxa"/>
              <w:bottom w:w="50" w:type="dxa"/>
              <w:right w:w="90" w:type="dxa"/>
            </w:tcMar>
            <w:vAlign w:val="center"/>
          </w:tcPr>
          <w:p w14:paraId="5DD26E0D" w14:textId="77777777" w:rsidR="008619E5" w:rsidRDefault="00000000">
            <w:r>
              <w:rPr>
                <w:b/>
                <w:bCs/>
                <w:sz w:val="17"/>
                <w:szCs w:val="17"/>
              </w:rPr>
              <w:t>R-001</w:t>
            </w:r>
          </w:p>
        </w:tc>
        <w:tc>
          <w:tcPr>
            <w:tcW w:w="3500" w:type="dxa"/>
            <w:tcMar>
              <w:top w:w="50" w:type="dxa"/>
              <w:left w:w="90" w:type="dxa"/>
              <w:bottom w:w="50" w:type="dxa"/>
              <w:right w:w="90" w:type="dxa"/>
            </w:tcMar>
            <w:vAlign w:val="center"/>
          </w:tcPr>
          <w:p w14:paraId="6CD4C914" w14:textId="77777777" w:rsidR="008619E5" w:rsidRDefault="00000000">
            <w:r>
              <w:rPr>
                <w:sz w:val="17"/>
                <w:szCs w:val="17"/>
              </w:rPr>
              <w:t>Interest coverage ratio falling below safe levels due to acquisition debt load</w:t>
            </w:r>
          </w:p>
        </w:tc>
        <w:tc>
          <w:tcPr>
            <w:tcW w:w="1080" w:type="dxa"/>
            <w:tcMar>
              <w:top w:w="50" w:type="dxa"/>
              <w:left w:w="90" w:type="dxa"/>
              <w:bottom w:w="50" w:type="dxa"/>
              <w:right w:w="90" w:type="dxa"/>
            </w:tcMar>
            <w:vAlign w:val="center"/>
          </w:tcPr>
          <w:p w14:paraId="3A32F4BC" w14:textId="77777777" w:rsidR="008619E5" w:rsidRDefault="00000000">
            <w:r>
              <w:rPr>
                <w:sz w:val="17"/>
                <w:szCs w:val="17"/>
              </w:rPr>
              <w:t>Financial</w:t>
            </w:r>
          </w:p>
        </w:tc>
        <w:tc>
          <w:tcPr>
            <w:tcW w:w="540" w:type="dxa"/>
            <w:tcMar>
              <w:top w:w="50" w:type="dxa"/>
              <w:left w:w="90" w:type="dxa"/>
              <w:bottom w:w="50" w:type="dxa"/>
              <w:right w:w="90" w:type="dxa"/>
            </w:tcMar>
            <w:vAlign w:val="center"/>
          </w:tcPr>
          <w:p w14:paraId="4FE39C80" w14:textId="77777777" w:rsidR="008619E5" w:rsidRDefault="00000000">
            <w:pPr>
              <w:jc w:val="center"/>
            </w:pPr>
            <w:r>
              <w:rPr>
                <w:sz w:val="17"/>
                <w:szCs w:val="17"/>
              </w:rPr>
              <w:t>7</w:t>
            </w:r>
          </w:p>
        </w:tc>
        <w:tc>
          <w:tcPr>
            <w:tcW w:w="540" w:type="dxa"/>
            <w:tcMar>
              <w:top w:w="50" w:type="dxa"/>
              <w:left w:w="90" w:type="dxa"/>
              <w:bottom w:w="50" w:type="dxa"/>
              <w:right w:w="90" w:type="dxa"/>
            </w:tcMar>
            <w:vAlign w:val="center"/>
          </w:tcPr>
          <w:p w14:paraId="69F7A9EC" w14:textId="77777777" w:rsidR="008619E5" w:rsidRDefault="00000000">
            <w:pPr>
              <w:jc w:val="center"/>
            </w:pPr>
            <w:r>
              <w:rPr>
                <w:sz w:val="17"/>
                <w:szCs w:val="17"/>
              </w:rPr>
              <w:t>9</w:t>
            </w:r>
          </w:p>
        </w:tc>
        <w:tc>
          <w:tcPr>
            <w:tcW w:w="740" w:type="dxa"/>
            <w:tcMar>
              <w:top w:w="50" w:type="dxa"/>
              <w:left w:w="90" w:type="dxa"/>
              <w:bottom w:w="50" w:type="dxa"/>
              <w:right w:w="90" w:type="dxa"/>
            </w:tcMar>
            <w:vAlign w:val="center"/>
          </w:tcPr>
          <w:p w14:paraId="5D3EB141" w14:textId="77777777" w:rsidR="008619E5" w:rsidRDefault="00000000">
            <w:pPr>
              <w:jc w:val="center"/>
            </w:pPr>
            <w:r>
              <w:rPr>
                <w:b/>
                <w:bCs/>
                <w:sz w:val="17"/>
                <w:szCs w:val="17"/>
              </w:rPr>
              <w:t>63</w:t>
            </w:r>
          </w:p>
        </w:tc>
        <w:tc>
          <w:tcPr>
            <w:tcW w:w="2140" w:type="dxa"/>
            <w:shd w:val="clear" w:color="auto" w:fill="FADBD8"/>
            <w:tcMar>
              <w:top w:w="50" w:type="dxa"/>
              <w:left w:w="90" w:type="dxa"/>
              <w:bottom w:w="50" w:type="dxa"/>
              <w:right w:w="90" w:type="dxa"/>
            </w:tcMar>
            <w:vAlign w:val="center"/>
          </w:tcPr>
          <w:p w14:paraId="4922E161" w14:textId="77777777" w:rsidR="008619E5" w:rsidRDefault="00000000">
            <w:pPr>
              <w:jc w:val="center"/>
            </w:pPr>
            <w:r>
              <w:rPr>
                <w:sz w:val="17"/>
                <w:szCs w:val="17"/>
              </w:rPr>
              <w:t>High</w:t>
            </w:r>
          </w:p>
        </w:tc>
      </w:tr>
      <w:tr w:rsidR="008619E5" w14:paraId="5CE15207" w14:textId="77777777">
        <w:tc>
          <w:tcPr>
            <w:tcW w:w="820" w:type="dxa"/>
            <w:tcMar>
              <w:top w:w="50" w:type="dxa"/>
              <w:left w:w="90" w:type="dxa"/>
              <w:bottom w:w="50" w:type="dxa"/>
              <w:right w:w="90" w:type="dxa"/>
            </w:tcMar>
            <w:vAlign w:val="center"/>
          </w:tcPr>
          <w:p w14:paraId="12289A70" w14:textId="77777777" w:rsidR="008619E5" w:rsidRDefault="00000000">
            <w:r>
              <w:rPr>
                <w:b/>
                <w:bCs/>
                <w:sz w:val="17"/>
                <w:szCs w:val="17"/>
              </w:rPr>
              <w:t>R-002</w:t>
            </w:r>
          </w:p>
        </w:tc>
        <w:tc>
          <w:tcPr>
            <w:tcW w:w="3500" w:type="dxa"/>
            <w:tcMar>
              <w:top w:w="50" w:type="dxa"/>
              <w:left w:w="90" w:type="dxa"/>
              <w:bottom w:w="50" w:type="dxa"/>
              <w:right w:w="90" w:type="dxa"/>
            </w:tcMar>
            <w:vAlign w:val="center"/>
          </w:tcPr>
          <w:p w14:paraId="3AB9798E" w14:textId="77777777" w:rsidR="008619E5" w:rsidRDefault="00000000">
            <w:r>
              <w:rPr>
                <w:sz w:val="17"/>
                <w:szCs w:val="17"/>
              </w:rPr>
              <w:t xml:space="preserve">Failure to achieve $10B </w:t>
            </w:r>
            <w:proofErr w:type="spellStart"/>
            <w:r>
              <w:rPr>
                <w:sz w:val="17"/>
                <w:szCs w:val="17"/>
              </w:rPr>
              <w:t>Seagen</w:t>
            </w:r>
            <w:proofErr w:type="spellEnd"/>
            <w:r>
              <w:rPr>
                <w:sz w:val="17"/>
                <w:szCs w:val="17"/>
              </w:rPr>
              <w:t xml:space="preserve"> 2030 risk-adjusted revenue target</w:t>
            </w:r>
          </w:p>
        </w:tc>
        <w:tc>
          <w:tcPr>
            <w:tcW w:w="1080" w:type="dxa"/>
            <w:tcMar>
              <w:top w:w="50" w:type="dxa"/>
              <w:left w:w="90" w:type="dxa"/>
              <w:bottom w:w="50" w:type="dxa"/>
              <w:right w:w="90" w:type="dxa"/>
            </w:tcMar>
            <w:vAlign w:val="center"/>
          </w:tcPr>
          <w:p w14:paraId="7878FF45" w14:textId="77777777" w:rsidR="008619E5" w:rsidRDefault="00000000">
            <w:r>
              <w:rPr>
                <w:sz w:val="17"/>
                <w:szCs w:val="17"/>
              </w:rPr>
              <w:t>Financial</w:t>
            </w:r>
          </w:p>
        </w:tc>
        <w:tc>
          <w:tcPr>
            <w:tcW w:w="540" w:type="dxa"/>
            <w:tcMar>
              <w:top w:w="50" w:type="dxa"/>
              <w:left w:w="90" w:type="dxa"/>
              <w:bottom w:w="50" w:type="dxa"/>
              <w:right w:w="90" w:type="dxa"/>
            </w:tcMar>
            <w:vAlign w:val="center"/>
          </w:tcPr>
          <w:p w14:paraId="54E5ED3B" w14:textId="77777777" w:rsidR="008619E5" w:rsidRDefault="00000000">
            <w:pPr>
              <w:jc w:val="center"/>
            </w:pPr>
            <w:r>
              <w:rPr>
                <w:sz w:val="17"/>
                <w:szCs w:val="17"/>
              </w:rPr>
              <w:t>7</w:t>
            </w:r>
          </w:p>
        </w:tc>
        <w:tc>
          <w:tcPr>
            <w:tcW w:w="540" w:type="dxa"/>
            <w:tcMar>
              <w:top w:w="50" w:type="dxa"/>
              <w:left w:w="90" w:type="dxa"/>
              <w:bottom w:w="50" w:type="dxa"/>
              <w:right w:w="90" w:type="dxa"/>
            </w:tcMar>
            <w:vAlign w:val="center"/>
          </w:tcPr>
          <w:p w14:paraId="13CAD152" w14:textId="77777777" w:rsidR="008619E5" w:rsidRDefault="00000000">
            <w:pPr>
              <w:jc w:val="center"/>
            </w:pPr>
            <w:r>
              <w:rPr>
                <w:sz w:val="17"/>
                <w:szCs w:val="17"/>
              </w:rPr>
              <w:t>9</w:t>
            </w:r>
          </w:p>
        </w:tc>
        <w:tc>
          <w:tcPr>
            <w:tcW w:w="740" w:type="dxa"/>
            <w:tcMar>
              <w:top w:w="50" w:type="dxa"/>
              <w:left w:w="90" w:type="dxa"/>
              <w:bottom w:w="50" w:type="dxa"/>
              <w:right w:w="90" w:type="dxa"/>
            </w:tcMar>
            <w:vAlign w:val="center"/>
          </w:tcPr>
          <w:p w14:paraId="66CCE4F1" w14:textId="77777777" w:rsidR="008619E5" w:rsidRDefault="00000000">
            <w:pPr>
              <w:jc w:val="center"/>
            </w:pPr>
            <w:r>
              <w:rPr>
                <w:b/>
                <w:bCs/>
                <w:sz w:val="17"/>
                <w:szCs w:val="17"/>
              </w:rPr>
              <w:t>63</w:t>
            </w:r>
          </w:p>
        </w:tc>
        <w:tc>
          <w:tcPr>
            <w:tcW w:w="2140" w:type="dxa"/>
            <w:shd w:val="clear" w:color="auto" w:fill="FADBD8"/>
            <w:tcMar>
              <w:top w:w="50" w:type="dxa"/>
              <w:left w:w="90" w:type="dxa"/>
              <w:bottom w:w="50" w:type="dxa"/>
              <w:right w:w="90" w:type="dxa"/>
            </w:tcMar>
            <w:vAlign w:val="center"/>
          </w:tcPr>
          <w:p w14:paraId="5D77ED8E" w14:textId="77777777" w:rsidR="008619E5" w:rsidRDefault="00000000">
            <w:pPr>
              <w:jc w:val="center"/>
            </w:pPr>
            <w:r>
              <w:rPr>
                <w:sz w:val="17"/>
                <w:szCs w:val="17"/>
              </w:rPr>
              <w:t>High</w:t>
            </w:r>
          </w:p>
        </w:tc>
      </w:tr>
      <w:tr w:rsidR="008619E5" w14:paraId="5663CEC1" w14:textId="77777777">
        <w:tc>
          <w:tcPr>
            <w:tcW w:w="820" w:type="dxa"/>
            <w:tcMar>
              <w:top w:w="50" w:type="dxa"/>
              <w:left w:w="90" w:type="dxa"/>
              <w:bottom w:w="50" w:type="dxa"/>
              <w:right w:w="90" w:type="dxa"/>
            </w:tcMar>
            <w:vAlign w:val="center"/>
          </w:tcPr>
          <w:p w14:paraId="4B14B088" w14:textId="77777777" w:rsidR="008619E5" w:rsidRDefault="00000000">
            <w:r>
              <w:rPr>
                <w:b/>
                <w:bCs/>
                <w:sz w:val="17"/>
                <w:szCs w:val="17"/>
              </w:rPr>
              <w:t>R-003</w:t>
            </w:r>
          </w:p>
        </w:tc>
        <w:tc>
          <w:tcPr>
            <w:tcW w:w="3500" w:type="dxa"/>
            <w:tcMar>
              <w:top w:w="50" w:type="dxa"/>
              <w:left w:w="90" w:type="dxa"/>
              <w:bottom w:w="50" w:type="dxa"/>
              <w:right w:w="90" w:type="dxa"/>
            </w:tcMar>
            <w:vAlign w:val="center"/>
          </w:tcPr>
          <w:p w14:paraId="73C53103" w14:textId="77777777" w:rsidR="008619E5" w:rsidRDefault="00000000">
            <w:r>
              <w:rPr>
                <w:sz w:val="17"/>
                <w:szCs w:val="17"/>
              </w:rPr>
              <w:t xml:space="preserve">IRA Medicare drug-price negotiations compress </w:t>
            </w:r>
            <w:proofErr w:type="spellStart"/>
            <w:r>
              <w:rPr>
                <w:sz w:val="17"/>
                <w:szCs w:val="17"/>
              </w:rPr>
              <w:t>Seagen</w:t>
            </w:r>
            <w:proofErr w:type="spellEnd"/>
            <w:r>
              <w:rPr>
                <w:sz w:val="17"/>
                <w:szCs w:val="17"/>
              </w:rPr>
              <w:t xml:space="preserve"> ADC revenue</w:t>
            </w:r>
          </w:p>
        </w:tc>
        <w:tc>
          <w:tcPr>
            <w:tcW w:w="1080" w:type="dxa"/>
            <w:tcMar>
              <w:top w:w="50" w:type="dxa"/>
              <w:left w:w="90" w:type="dxa"/>
              <w:bottom w:w="50" w:type="dxa"/>
              <w:right w:w="90" w:type="dxa"/>
            </w:tcMar>
            <w:vAlign w:val="center"/>
          </w:tcPr>
          <w:p w14:paraId="6EF63799" w14:textId="77777777" w:rsidR="008619E5" w:rsidRDefault="00000000">
            <w:r>
              <w:rPr>
                <w:sz w:val="17"/>
                <w:szCs w:val="17"/>
              </w:rPr>
              <w:t>Legal/Reg.</w:t>
            </w:r>
          </w:p>
        </w:tc>
        <w:tc>
          <w:tcPr>
            <w:tcW w:w="540" w:type="dxa"/>
            <w:tcMar>
              <w:top w:w="50" w:type="dxa"/>
              <w:left w:w="90" w:type="dxa"/>
              <w:bottom w:w="50" w:type="dxa"/>
              <w:right w:w="90" w:type="dxa"/>
            </w:tcMar>
            <w:vAlign w:val="center"/>
          </w:tcPr>
          <w:p w14:paraId="76BFDDFE" w14:textId="77777777" w:rsidR="008619E5" w:rsidRDefault="00000000">
            <w:pPr>
              <w:jc w:val="center"/>
            </w:pPr>
            <w:r>
              <w:rPr>
                <w:sz w:val="17"/>
                <w:szCs w:val="17"/>
              </w:rPr>
              <w:t>8</w:t>
            </w:r>
          </w:p>
        </w:tc>
        <w:tc>
          <w:tcPr>
            <w:tcW w:w="540" w:type="dxa"/>
            <w:tcMar>
              <w:top w:w="50" w:type="dxa"/>
              <w:left w:w="90" w:type="dxa"/>
              <w:bottom w:w="50" w:type="dxa"/>
              <w:right w:w="90" w:type="dxa"/>
            </w:tcMar>
            <w:vAlign w:val="center"/>
          </w:tcPr>
          <w:p w14:paraId="39B44B64" w14:textId="77777777" w:rsidR="008619E5" w:rsidRDefault="00000000">
            <w:pPr>
              <w:jc w:val="center"/>
            </w:pPr>
            <w:r>
              <w:rPr>
                <w:sz w:val="17"/>
                <w:szCs w:val="17"/>
              </w:rPr>
              <w:t>8</w:t>
            </w:r>
          </w:p>
        </w:tc>
        <w:tc>
          <w:tcPr>
            <w:tcW w:w="740" w:type="dxa"/>
            <w:tcMar>
              <w:top w:w="50" w:type="dxa"/>
              <w:left w:w="90" w:type="dxa"/>
              <w:bottom w:w="50" w:type="dxa"/>
              <w:right w:w="90" w:type="dxa"/>
            </w:tcMar>
            <w:vAlign w:val="center"/>
          </w:tcPr>
          <w:p w14:paraId="54BD0761" w14:textId="77777777" w:rsidR="008619E5" w:rsidRDefault="00000000">
            <w:pPr>
              <w:jc w:val="center"/>
            </w:pPr>
            <w:r>
              <w:rPr>
                <w:b/>
                <w:bCs/>
                <w:sz w:val="17"/>
                <w:szCs w:val="17"/>
              </w:rPr>
              <w:t>64</w:t>
            </w:r>
          </w:p>
        </w:tc>
        <w:tc>
          <w:tcPr>
            <w:tcW w:w="2140" w:type="dxa"/>
            <w:shd w:val="clear" w:color="auto" w:fill="FADBD8"/>
            <w:tcMar>
              <w:top w:w="50" w:type="dxa"/>
              <w:left w:w="90" w:type="dxa"/>
              <w:bottom w:w="50" w:type="dxa"/>
              <w:right w:w="90" w:type="dxa"/>
            </w:tcMar>
            <w:vAlign w:val="center"/>
          </w:tcPr>
          <w:p w14:paraId="72D0FC16" w14:textId="77777777" w:rsidR="008619E5" w:rsidRDefault="00000000">
            <w:pPr>
              <w:jc w:val="center"/>
            </w:pPr>
            <w:r>
              <w:rPr>
                <w:sz w:val="17"/>
                <w:szCs w:val="17"/>
              </w:rPr>
              <w:t>High</w:t>
            </w:r>
          </w:p>
        </w:tc>
      </w:tr>
      <w:tr w:rsidR="008619E5" w14:paraId="05F87E45" w14:textId="77777777">
        <w:tc>
          <w:tcPr>
            <w:tcW w:w="820" w:type="dxa"/>
            <w:tcMar>
              <w:top w:w="50" w:type="dxa"/>
              <w:left w:w="90" w:type="dxa"/>
              <w:bottom w:w="50" w:type="dxa"/>
              <w:right w:w="90" w:type="dxa"/>
            </w:tcMar>
            <w:vAlign w:val="center"/>
          </w:tcPr>
          <w:p w14:paraId="4DFF9835" w14:textId="77777777" w:rsidR="008619E5" w:rsidRDefault="00000000">
            <w:r>
              <w:rPr>
                <w:b/>
                <w:bCs/>
                <w:sz w:val="17"/>
                <w:szCs w:val="17"/>
              </w:rPr>
              <w:t>R-004</w:t>
            </w:r>
          </w:p>
        </w:tc>
        <w:tc>
          <w:tcPr>
            <w:tcW w:w="3500" w:type="dxa"/>
            <w:tcMar>
              <w:top w:w="50" w:type="dxa"/>
              <w:left w:w="90" w:type="dxa"/>
              <w:bottom w:w="50" w:type="dxa"/>
              <w:right w:w="90" w:type="dxa"/>
            </w:tcMar>
            <w:vAlign w:val="center"/>
          </w:tcPr>
          <w:p w14:paraId="617EF7C7" w14:textId="77777777" w:rsidR="008619E5" w:rsidRDefault="00000000">
            <w:r>
              <w:rPr>
                <w:sz w:val="17"/>
                <w:szCs w:val="17"/>
              </w:rPr>
              <w:t xml:space="preserve">FDA Complete Response Letter or labeling restriction on </w:t>
            </w:r>
            <w:proofErr w:type="spellStart"/>
            <w:r>
              <w:rPr>
                <w:sz w:val="17"/>
                <w:szCs w:val="17"/>
              </w:rPr>
              <w:t>Seagen</w:t>
            </w:r>
            <w:proofErr w:type="spellEnd"/>
            <w:r>
              <w:rPr>
                <w:sz w:val="17"/>
                <w:szCs w:val="17"/>
              </w:rPr>
              <w:t xml:space="preserve"> pipeline ADC submissions</w:t>
            </w:r>
          </w:p>
        </w:tc>
        <w:tc>
          <w:tcPr>
            <w:tcW w:w="1080" w:type="dxa"/>
            <w:tcMar>
              <w:top w:w="50" w:type="dxa"/>
              <w:left w:w="90" w:type="dxa"/>
              <w:bottom w:w="50" w:type="dxa"/>
              <w:right w:w="90" w:type="dxa"/>
            </w:tcMar>
            <w:vAlign w:val="center"/>
          </w:tcPr>
          <w:p w14:paraId="5EF474EB" w14:textId="77777777" w:rsidR="008619E5" w:rsidRDefault="00000000">
            <w:r>
              <w:rPr>
                <w:sz w:val="17"/>
                <w:szCs w:val="17"/>
              </w:rPr>
              <w:t>Legal/Reg.</w:t>
            </w:r>
          </w:p>
        </w:tc>
        <w:tc>
          <w:tcPr>
            <w:tcW w:w="540" w:type="dxa"/>
            <w:tcMar>
              <w:top w:w="50" w:type="dxa"/>
              <w:left w:w="90" w:type="dxa"/>
              <w:bottom w:w="50" w:type="dxa"/>
              <w:right w:w="90" w:type="dxa"/>
            </w:tcMar>
            <w:vAlign w:val="center"/>
          </w:tcPr>
          <w:p w14:paraId="63363D3A" w14:textId="77777777" w:rsidR="008619E5" w:rsidRDefault="00000000">
            <w:pPr>
              <w:jc w:val="center"/>
            </w:pPr>
            <w:r>
              <w:rPr>
                <w:sz w:val="17"/>
                <w:szCs w:val="17"/>
              </w:rPr>
              <w:t>6</w:t>
            </w:r>
          </w:p>
        </w:tc>
        <w:tc>
          <w:tcPr>
            <w:tcW w:w="540" w:type="dxa"/>
            <w:tcMar>
              <w:top w:w="50" w:type="dxa"/>
              <w:left w:w="90" w:type="dxa"/>
              <w:bottom w:w="50" w:type="dxa"/>
              <w:right w:w="90" w:type="dxa"/>
            </w:tcMar>
            <w:vAlign w:val="center"/>
          </w:tcPr>
          <w:p w14:paraId="32D7BC74" w14:textId="77777777" w:rsidR="008619E5" w:rsidRDefault="00000000">
            <w:pPr>
              <w:jc w:val="center"/>
            </w:pPr>
            <w:r>
              <w:rPr>
                <w:sz w:val="17"/>
                <w:szCs w:val="17"/>
              </w:rPr>
              <w:t>7</w:t>
            </w:r>
          </w:p>
        </w:tc>
        <w:tc>
          <w:tcPr>
            <w:tcW w:w="740" w:type="dxa"/>
            <w:tcMar>
              <w:top w:w="50" w:type="dxa"/>
              <w:left w:w="90" w:type="dxa"/>
              <w:bottom w:w="50" w:type="dxa"/>
              <w:right w:w="90" w:type="dxa"/>
            </w:tcMar>
            <w:vAlign w:val="center"/>
          </w:tcPr>
          <w:p w14:paraId="19657493" w14:textId="77777777" w:rsidR="008619E5" w:rsidRDefault="00000000">
            <w:pPr>
              <w:jc w:val="center"/>
            </w:pPr>
            <w:r>
              <w:rPr>
                <w:b/>
                <w:bCs/>
                <w:sz w:val="17"/>
                <w:szCs w:val="17"/>
              </w:rPr>
              <w:t>42</w:t>
            </w:r>
          </w:p>
        </w:tc>
        <w:tc>
          <w:tcPr>
            <w:tcW w:w="2140" w:type="dxa"/>
            <w:shd w:val="clear" w:color="auto" w:fill="FDEBD0"/>
            <w:tcMar>
              <w:top w:w="50" w:type="dxa"/>
              <w:left w:w="90" w:type="dxa"/>
              <w:bottom w:w="50" w:type="dxa"/>
              <w:right w:w="90" w:type="dxa"/>
            </w:tcMar>
            <w:vAlign w:val="center"/>
          </w:tcPr>
          <w:p w14:paraId="6435FB59" w14:textId="77777777" w:rsidR="008619E5" w:rsidRDefault="00000000">
            <w:pPr>
              <w:jc w:val="center"/>
            </w:pPr>
            <w:r>
              <w:rPr>
                <w:sz w:val="17"/>
                <w:szCs w:val="17"/>
              </w:rPr>
              <w:t>Medium</w:t>
            </w:r>
          </w:p>
        </w:tc>
      </w:tr>
      <w:tr w:rsidR="008619E5" w14:paraId="28704532" w14:textId="77777777">
        <w:tc>
          <w:tcPr>
            <w:tcW w:w="820" w:type="dxa"/>
            <w:tcMar>
              <w:top w:w="50" w:type="dxa"/>
              <w:left w:w="90" w:type="dxa"/>
              <w:bottom w:w="50" w:type="dxa"/>
              <w:right w:w="90" w:type="dxa"/>
            </w:tcMar>
            <w:vAlign w:val="center"/>
          </w:tcPr>
          <w:p w14:paraId="2910D6FD" w14:textId="77777777" w:rsidR="008619E5" w:rsidRDefault="00000000">
            <w:r>
              <w:rPr>
                <w:b/>
                <w:bCs/>
                <w:sz w:val="17"/>
                <w:szCs w:val="17"/>
              </w:rPr>
              <w:t>R-005</w:t>
            </w:r>
          </w:p>
        </w:tc>
        <w:tc>
          <w:tcPr>
            <w:tcW w:w="3500" w:type="dxa"/>
            <w:tcMar>
              <w:top w:w="50" w:type="dxa"/>
              <w:left w:w="90" w:type="dxa"/>
              <w:bottom w:w="50" w:type="dxa"/>
              <w:right w:w="90" w:type="dxa"/>
            </w:tcMar>
            <w:vAlign w:val="center"/>
          </w:tcPr>
          <w:p w14:paraId="06146B0D" w14:textId="77777777" w:rsidR="008619E5" w:rsidRDefault="00000000">
            <w:r>
              <w:rPr>
                <w:sz w:val="17"/>
                <w:szCs w:val="17"/>
              </w:rPr>
              <w:t>Patent cliff and ADCETRIS biosimilar entry risk</w:t>
            </w:r>
          </w:p>
        </w:tc>
        <w:tc>
          <w:tcPr>
            <w:tcW w:w="1080" w:type="dxa"/>
            <w:tcMar>
              <w:top w:w="50" w:type="dxa"/>
              <w:left w:w="90" w:type="dxa"/>
              <w:bottom w:w="50" w:type="dxa"/>
              <w:right w:w="90" w:type="dxa"/>
            </w:tcMar>
            <w:vAlign w:val="center"/>
          </w:tcPr>
          <w:p w14:paraId="585B7B9B" w14:textId="77777777" w:rsidR="008619E5" w:rsidRDefault="00000000">
            <w:r>
              <w:rPr>
                <w:sz w:val="17"/>
                <w:szCs w:val="17"/>
              </w:rPr>
              <w:t>Legal/Reg.</w:t>
            </w:r>
          </w:p>
        </w:tc>
        <w:tc>
          <w:tcPr>
            <w:tcW w:w="540" w:type="dxa"/>
            <w:tcMar>
              <w:top w:w="50" w:type="dxa"/>
              <w:left w:w="90" w:type="dxa"/>
              <w:bottom w:w="50" w:type="dxa"/>
              <w:right w:w="90" w:type="dxa"/>
            </w:tcMar>
            <w:vAlign w:val="center"/>
          </w:tcPr>
          <w:p w14:paraId="48A1D7C1" w14:textId="77777777" w:rsidR="008619E5" w:rsidRDefault="00000000">
            <w:pPr>
              <w:jc w:val="center"/>
            </w:pPr>
            <w:r>
              <w:rPr>
                <w:sz w:val="17"/>
                <w:szCs w:val="17"/>
              </w:rPr>
              <w:t>6</w:t>
            </w:r>
          </w:p>
        </w:tc>
        <w:tc>
          <w:tcPr>
            <w:tcW w:w="540" w:type="dxa"/>
            <w:tcMar>
              <w:top w:w="50" w:type="dxa"/>
              <w:left w:w="90" w:type="dxa"/>
              <w:bottom w:w="50" w:type="dxa"/>
              <w:right w:w="90" w:type="dxa"/>
            </w:tcMar>
            <w:vAlign w:val="center"/>
          </w:tcPr>
          <w:p w14:paraId="03DED6EA" w14:textId="77777777" w:rsidR="008619E5" w:rsidRDefault="00000000">
            <w:pPr>
              <w:jc w:val="center"/>
            </w:pPr>
            <w:r>
              <w:rPr>
                <w:sz w:val="17"/>
                <w:szCs w:val="17"/>
              </w:rPr>
              <w:t>8</w:t>
            </w:r>
          </w:p>
        </w:tc>
        <w:tc>
          <w:tcPr>
            <w:tcW w:w="740" w:type="dxa"/>
            <w:tcMar>
              <w:top w:w="50" w:type="dxa"/>
              <w:left w:w="90" w:type="dxa"/>
              <w:bottom w:w="50" w:type="dxa"/>
              <w:right w:w="90" w:type="dxa"/>
            </w:tcMar>
            <w:vAlign w:val="center"/>
          </w:tcPr>
          <w:p w14:paraId="16E793A5" w14:textId="77777777" w:rsidR="008619E5" w:rsidRDefault="00000000">
            <w:pPr>
              <w:jc w:val="center"/>
            </w:pPr>
            <w:r>
              <w:rPr>
                <w:b/>
                <w:bCs/>
                <w:sz w:val="17"/>
                <w:szCs w:val="17"/>
              </w:rPr>
              <w:t>48</w:t>
            </w:r>
          </w:p>
        </w:tc>
        <w:tc>
          <w:tcPr>
            <w:tcW w:w="2140" w:type="dxa"/>
            <w:shd w:val="clear" w:color="auto" w:fill="FDEBD0"/>
            <w:tcMar>
              <w:top w:w="50" w:type="dxa"/>
              <w:left w:w="90" w:type="dxa"/>
              <w:bottom w:w="50" w:type="dxa"/>
              <w:right w:w="90" w:type="dxa"/>
            </w:tcMar>
            <w:vAlign w:val="center"/>
          </w:tcPr>
          <w:p w14:paraId="4D17E31A" w14:textId="77777777" w:rsidR="008619E5" w:rsidRDefault="00000000">
            <w:pPr>
              <w:jc w:val="center"/>
            </w:pPr>
            <w:r>
              <w:rPr>
                <w:sz w:val="17"/>
                <w:szCs w:val="17"/>
              </w:rPr>
              <w:t>Medium</w:t>
            </w:r>
          </w:p>
        </w:tc>
      </w:tr>
      <w:tr w:rsidR="008619E5" w14:paraId="3102221B" w14:textId="77777777">
        <w:tc>
          <w:tcPr>
            <w:tcW w:w="820" w:type="dxa"/>
            <w:tcMar>
              <w:top w:w="50" w:type="dxa"/>
              <w:left w:w="90" w:type="dxa"/>
              <w:bottom w:w="50" w:type="dxa"/>
              <w:right w:w="90" w:type="dxa"/>
            </w:tcMar>
            <w:vAlign w:val="center"/>
          </w:tcPr>
          <w:p w14:paraId="761B6674" w14:textId="77777777" w:rsidR="008619E5" w:rsidRDefault="00000000">
            <w:r>
              <w:rPr>
                <w:b/>
                <w:bCs/>
                <w:sz w:val="17"/>
                <w:szCs w:val="17"/>
              </w:rPr>
              <w:t>R-006</w:t>
            </w:r>
          </w:p>
        </w:tc>
        <w:tc>
          <w:tcPr>
            <w:tcW w:w="3500" w:type="dxa"/>
            <w:tcMar>
              <w:top w:w="50" w:type="dxa"/>
              <w:left w:w="90" w:type="dxa"/>
              <w:bottom w:w="50" w:type="dxa"/>
              <w:right w:w="90" w:type="dxa"/>
            </w:tcMar>
            <w:vAlign w:val="center"/>
          </w:tcPr>
          <w:p w14:paraId="1436616F" w14:textId="77777777" w:rsidR="008619E5" w:rsidRDefault="00000000">
            <w:r>
              <w:rPr>
                <w:sz w:val="17"/>
                <w:szCs w:val="17"/>
              </w:rPr>
              <w:t xml:space="preserve">Key ADC talent attrition from former </w:t>
            </w:r>
            <w:proofErr w:type="spellStart"/>
            <w:r>
              <w:rPr>
                <w:sz w:val="17"/>
                <w:szCs w:val="17"/>
              </w:rPr>
              <w:t>Seagen</w:t>
            </w:r>
            <w:proofErr w:type="spellEnd"/>
            <w:r>
              <w:rPr>
                <w:sz w:val="17"/>
                <w:szCs w:val="17"/>
              </w:rPr>
              <w:t xml:space="preserve"> organization</w:t>
            </w:r>
          </w:p>
        </w:tc>
        <w:tc>
          <w:tcPr>
            <w:tcW w:w="1080" w:type="dxa"/>
            <w:tcMar>
              <w:top w:w="50" w:type="dxa"/>
              <w:left w:w="90" w:type="dxa"/>
              <w:bottom w:w="50" w:type="dxa"/>
              <w:right w:w="90" w:type="dxa"/>
            </w:tcMar>
            <w:vAlign w:val="center"/>
          </w:tcPr>
          <w:p w14:paraId="0544AB61" w14:textId="77777777" w:rsidR="008619E5" w:rsidRDefault="00000000">
            <w:r>
              <w:rPr>
                <w:sz w:val="17"/>
                <w:szCs w:val="17"/>
              </w:rPr>
              <w:t>Operational</w:t>
            </w:r>
          </w:p>
        </w:tc>
        <w:tc>
          <w:tcPr>
            <w:tcW w:w="540" w:type="dxa"/>
            <w:tcMar>
              <w:top w:w="50" w:type="dxa"/>
              <w:left w:w="90" w:type="dxa"/>
              <w:bottom w:w="50" w:type="dxa"/>
              <w:right w:w="90" w:type="dxa"/>
            </w:tcMar>
            <w:vAlign w:val="center"/>
          </w:tcPr>
          <w:p w14:paraId="366F69BA" w14:textId="77777777" w:rsidR="008619E5" w:rsidRDefault="00000000">
            <w:pPr>
              <w:jc w:val="center"/>
            </w:pPr>
            <w:r>
              <w:rPr>
                <w:sz w:val="17"/>
                <w:szCs w:val="17"/>
              </w:rPr>
              <w:t>8</w:t>
            </w:r>
          </w:p>
        </w:tc>
        <w:tc>
          <w:tcPr>
            <w:tcW w:w="540" w:type="dxa"/>
            <w:tcMar>
              <w:top w:w="50" w:type="dxa"/>
              <w:left w:w="90" w:type="dxa"/>
              <w:bottom w:w="50" w:type="dxa"/>
              <w:right w:w="90" w:type="dxa"/>
            </w:tcMar>
            <w:vAlign w:val="center"/>
          </w:tcPr>
          <w:p w14:paraId="6B37D4F7" w14:textId="77777777" w:rsidR="008619E5" w:rsidRDefault="00000000">
            <w:pPr>
              <w:jc w:val="center"/>
            </w:pPr>
            <w:r>
              <w:rPr>
                <w:sz w:val="17"/>
                <w:szCs w:val="17"/>
              </w:rPr>
              <w:t>9</w:t>
            </w:r>
          </w:p>
        </w:tc>
        <w:tc>
          <w:tcPr>
            <w:tcW w:w="740" w:type="dxa"/>
            <w:tcMar>
              <w:top w:w="50" w:type="dxa"/>
              <w:left w:w="90" w:type="dxa"/>
              <w:bottom w:w="50" w:type="dxa"/>
              <w:right w:w="90" w:type="dxa"/>
            </w:tcMar>
            <w:vAlign w:val="center"/>
          </w:tcPr>
          <w:p w14:paraId="57F2041C" w14:textId="77777777" w:rsidR="008619E5" w:rsidRDefault="00000000">
            <w:pPr>
              <w:jc w:val="center"/>
            </w:pPr>
            <w:r>
              <w:rPr>
                <w:b/>
                <w:bCs/>
                <w:sz w:val="17"/>
                <w:szCs w:val="17"/>
              </w:rPr>
              <w:t>72</w:t>
            </w:r>
          </w:p>
        </w:tc>
        <w:tc>
          <w:tcPr>
            <w:tcW w:w="2140" w:type="dxa"/>
            <w:shd w:val="clear" w:color="auto" w:fill="E6B0AA"/>
            <w:tcMar>
              <w:top w:w="50" w:type="dxa"/>
              <w:left w:w="90" w:type="dxa"/>
              <w:bottom w:w="50" w:type="dxa"/>
              <w:right w:w="90" w:type="dxa"/>
            </w:tcMar>
            <w:vAlign w:val="center"/>
          </w:tcPr>
          <w:p w14:paraId="7A949417" w14:textId="77777777" w:rsidR="008619E5" w:rsidRDefault="00000000">
            <w:pPr>
              <w:jc w:val="center"/>
            </w:pPr>
            <w:r>
              <w:rPr>
                <w:sz w:val="17"/>
                <w:szCs w:val="17"/>
              </w:rPr>
              <w:t>Critical</w:t>
            </w:r>
          </w:p>
        </w:tc>
      </w:tr>
      <w:tr w:rsidR="008619E5" w14:paraId="70837149" w14:textId="77777777">
        <w:tc>
          <w:tcPr>
            <w:tcW w:w="820" w:type="dxa"/>
            <w:tcMar>
              <w:top w:w="50" w:type="dxa"/>
              <w:left w:w="90" w:type="dxa"/>
              <w:bottom w:w="50" w:type="dxa"/>
              <w:right w:w="90" w:type="dxa"/>
            </w:tcMar>
            <w:vAlign w:val="center"/>
          </w:tcPr>
          <w:p w14:paraId="39E32114" w14:textId="77777777" w:rsidR="008619E5" w:rsidRDefault="00000000">
            <w:r>
              <w:rPr>
                <w:b/>
                <w:bCs/>
                <w:sz w:val="17"/>
                <w:szCs w:val="17"/>
              </w:rPr>
              <w:t>R-007</w:t>
            </w:r>
          </w:p>
        </w:tc>
        <w:tc>
          <w:tcPr>
            <w:tcW w:w="3500" w:type="dxa"/>
            <w:tcMar>
              <w:top w:w="50" w:type="dxa"/>
              <w:left w:w="90" w:type="dxa"/>
              <w:bottom w:w="50" w:type="dxa"/>
              <w:right w:w="90" w:type="dxa"/>
            </w:tcMar>
            <w:vAlign w:val="center"/>
          </w:tcPr>
          <w:p w14:paraId="5978C9BE" w14:textId="77777777" w:rsidR="008619E5" w:rsidRDefault="00000000">
            <w:r>
              <w:rPr>
                <w:sz w:val="17"/>
                <w:szCs w:val="17"/>
              </w:rPr>
              <w:t xml:space="preserve">ADC manufacturing scale-up failure at </w:t>
            </w:r>
            <w:proofErr w:type="spellStart"/>
            <w:r>
              <w:rPr>
                <w:sz w:val="17"/>
                <w:szCs w:val="17"/>
              </w:rPr>
              <w:t>Seagen’s</w:t>
            </w:r>
            <w:proofErr w:type="spellEnd"/>
            <w:r>
              <w:rPr>
                <w:sz w:val="17"/>
                <w:szCs w:val="17"/>
              </w:rPr>
              <w:t xml:space="preserve"> Bothell facility</w:t>
            </w:r>
          </w:p>
        </w:tc>
        <w:tc>
          <w:tcPr>
            <w:tcW w:w="1080" w:type="dxa"/>
            <w:tcMar>
              <w:top w:w="50" w:type="dxa"/>
              <w:left w:w="90" w:type="dxa"/>
              <w:bottom w:w="50" w:type="dxa"/>
              <w:right w:w="90" w:type="dxa"/>
            </w:tcMar>
            <w:vAlign w:val="center"/>
          </w:tcPr>
          <w:p w14:paraId="09E050D3" w14:textId="77777777" w:rsidR="008619E5" w:rsidRDefault="00000000">
            <w:r>
              <w:rPr>
                <w:sz w:val="17"/>
                <w:szCs w:val="17"/>
              </w:rPr>
              <w:t>Operational</w:t>
            </w:r>
          </w:p>
        </w:tc>
        <w:tc>
          <w:tcPr>
            <w:tcW w:w="540" w:type="dxa"/>
            <w:tcMar>
              <w:top w:w="50" w:type="dxa"/>
              <w:left w:w="90" w:type="dxa"/>
              <w:bottom w:w="50" w:type="dxa"/>
              <w:right w:w="90" w:type="dxa"/>
            </w:tcMar>
            <w:vAlign w:val="center"/>
          </w:tcPr>
          <w:p w14:paraId="7D89571C" w14:textId="77777777" w:rsidR="008619E5" w:rsidRDefault="00000000">
            <w:pPr>
              <w:jc w:val="center"/>
            </w:pPr>
            <w:r>
              <w:rPr>
                <w:sz w:val="17"/>
                <w:szCs w:val="17"/>
              </w:rPr>
              <w:t>6</w:t>
            </w:r>
          </w:p>
        </w:tc>
        <w:tc>
          <w:tcPr>
            <w:tcW w:w="540" w:type="dxa"/>
            <w:tcMar>
              <w:top w:w="50" w:type="dxa"/>
              <w:left w:w="90" w:type="dxa"/>
              <w:bottom w:w="50" w:type="dxa"/>
              <w:right w:w="90" w:type="dxa"/>
            </w:tcMar>
            <w:vAlign w:val="center"/>
          </w:tcPr>
          <w:p w14:paraId="18DFD0AC" w14:textId="77777777" w:rsidR="008619E5" w:rsidRDefault="00000000">
            <w:pPr>
              <w:jc w:val="center"/>
            </w:pPr>
            <w:r>
              <w:rPr>
                <w:sz w:val="17"/>
                <w:szCs w:val="17"/>
              </w:rPr>
              <w:t>8</w:t>
            </w:r>
          </w:p>
        </w:tc>
        <w:tc>
          <w:tcPr>
            <w:tcW w:w="740" w:type="dxa"/>
            <w:tcMar>
              <w:top w:w="50" w:type="dxa"/>
              <w:left w:w="90" w:type="dxa"/>
              <w:bottom w:w="50" w:type="dxa"/>
              <w:right w:w="90" w:type="dxa"/>
            </w:tcMar>
            <w:vAlign w:val="center"/>
          </w:tcPr>
          <w:p w14:paraId="5D5527EE" w14:textId="77777777" w:rsidR="008619E5" w:rsidRDefault="00000000">
            <w:pPr>
              <w:jc w:val="center"/>
            </w:pPr>
            <w:r>
              <w:rPr>
                <w:b/>
                <w:bCs/>
                <w:sz w:val="17"/>
                <w:szCs w:val="17"/>
              </w:rPr>
              <w:t>48</w:t>
            </w:r>
          </w:p>
        </w:tc>
        <w:tc>
          <w:tcPr>
            <w:tcW w:w="2140" w:type="dxa"/>
            <w:shd w:val="clear" w:color="auto" w:fill="FDEBD0"/>
            <w:tcMar>
              <w:top w:w="50" w:type="dxa"/>
              <w:left w:w="90" w:type="dxa"/>
              <w:bottom w:w="50" w:type="dxa"/>
              <w:right w:w="90" w:type="dxa"/>
            </w:tcMar>
            <w:vAlign w:val="center"/>
          </w:tcPr>
          <w:p w14:paraId="26E9C04F" w14:textId="77777777" w:rsidR="008619E5" w:rsidRDefault="00000000">
            <w:pPr>
              <w:jc w:val="center"/>
            </w:pPr>
            <w:r>
              <w:rPr>
                <w:sz w:val="17"/>
                <w:szCs w:val="17"/>
              </w:rPr>
              <w:t>Medium</w:t>
            </w:r>
          </w:p>
        </w:tc>
      </w:tr>
      <w:tr w:rsidR="008619E5" w14:paraId="29AA381A" w14:textId="77777777">
        <w:tc>
          <w:tcPr>
            <w:tcW w:w="820" w:type="dxa"/>
            <w:tcMar>
              <w:top w:w="50" w:type="dxa"/>
              <w:left w:w="90" w:type="dxa"/>
              <w:bottom w:w="50" w:type="dxa"/>
              <w:right w:w="90" w:type="dxa"/>
            </w:tcMar>
            <w:vAlign w:val="center"/>
          </w:tcPr>
          <w:p w14:paraId="7D9DEE82" w14:textId="77777777" w:rsidR="008619E5" w:rsidRDefault="00000000">
            <w:r>
              <w:rPr>
                <w:b/>
                <w:bCs/>
                <w:sz w:val="17"/>
                <w:szCs w:val="17"/>
              </w:rPr>
              <w:t>R-008</w:t>
            </w:r>
          </w:p>
        </w:tc>
        <w:tc>
          <w:tcPr>
            <w:tcW w:w="3500" w:type="dxa"/>
            <w:tcMar>
              <w:top w:w="50" w:type="dxa"/>
              <w:left w:w="90" w:type="dxa"/>
              <w:bottom w:w="50" w:type="dxa"/>
              <w:right w:w="90" w:type="dxa"/>
            </w:tcMar>
            <w:vAlign w:val="center"/>
          </w:tcPr>
          <w:p w14:paraId="2ED3EE22" w14:textId="77777777" w:rsidR="008619E5" w:rsidRDefault="00000000">
            <w:r>
              <w:rPr>
                <w:sz w:val="17"/>
                <w:szCs w:val="17"/>
              </w:rPr>
              <w:t xml:space="preserve">Clinical trial continuity disruption across </w:t>
            </w:r>
            <w:proofErr w:type="spellStart"/>
            <w:r>
              <w:rPr>
                <w:sz w:val="17"/>
                <w:szCs w:val="17"/>
              </w:rPr>
              <w:t>Seagen’s</w:t>
            </w:r>
            <w:proofErr w:type="spellEnd"/>
            <w:r>
              <w:rPr>
                <w:sz w:val="17"/>
                <w:szCs w:val="17"/>
              </w:rPr>
              <w:t xml:space="preserve"> 30+ active INDs</w:t>
            </w:r>
          </w:p>
        </w:tc>
        <w:tc>
          <w:tcPr>
            <w:tcW w:w="1080" w:type="dxa"/>
            <w:tcMar>
              <w:top w:w="50" w:type="dxa"/>
              <w:left w:w="90" w:type="dxa"/>
              <w:bottom w:w="50" w:type="dxa"/>
              <w:right w:w="90" w:type="dxa"/>
            </w:tcMar>
            <w:vAlign w:val="center"/>
          </w:tcPr>
          <w:p w14:paraId="13636067" w14:textId="77777777" w:rsidR="008619E5" w:rsidRDefault="00000000">
            <w:r>
              <w:rPr>
                <w:sz w:val="17"/>
                <w:szCs w:val="17"/>
              </w:rPr>
              <w:t>Operational</w:t>
            </w:r>
          </w:p>
        </w:tc>
        <w:tc>
          <w:tcPr>
            <w:tcW w:w="540" w:type="dxa"/>
            <w:tcMar>
              <w:top w:w="50" w:type="dxa"/>
              <w:left w:w="90" w:type="dxa"/>
              <w:bottom w:w="50" w:type="dxa"/>
              <w:right w:w="90" w:type="dxa"/>
            </w:tcMar>
            <w:vAlign w:val="center"/>
          </w:tcPr>
          <w:p w14:paraId="6675FEEC" w14:textId="77777777" w:rsidR="008619E5" w:rsidRDefault="00000000">
            <w:pPr>
              <w:jc w:val="center"/>
            </w:pPr>
            <w:r>
              <w:rPr>
                <w:sz w:val="17"/>
                <w:szCs w:val="17"/>
              </w:rPr>
              <w:t>5</w:t>
            </w:r>
          </w:p>
        </w:tc>
        <w:tc>
          <w:tcPr>
            <w:tcW w:w="540" w:type="dxa"/>
            <w:tcMar>
              <w:top w:w="50" w:type="dxa"/>
              <w:left w:w="90" w:type="dxa"/>
              <w:bottom w:w="50" w:type="dxa"/>
              <w:right w:w="90" w:type="dxa"/>
            </w:tcMar>
            <w:vAlign w:val="center"/>
          </w:tcPr>
          <w:p w14:paraId="57C183B7" w14:textId="77777777" w:rsidR="008619E5" w:rsidRDefault="00000000">
            <w:pPr>
              <w:jc w:val="center"/>
            </w:pPr>
            <w:r>
              <w:rPr>
                <w:sz w:val="17"/>
                <w:szCs w:val="17"/>
              </w:rPr>
              <w:t>7</w:t>
            </w:r>
          </w:p>
        </w:tc>
        <w:tc>
          <w:tcPr>
            <w:tcW w:w="740" w:type="dxa"/>
            <w:tcMar>
              <w:top w:w="50" w:type="dxa"/>
              <w:left w:w="90" w:type="dxa"/>
              <w:bottom w:w="50" w:type="dxa"/>
              <w:right w:w="90" w:type="dxa"/>
            </w:tcMar>
            <w:vAlign w:val="center"/>
          </w:tcPr>
          <w:p w14:paraId="35E6F778" w14:textId="77777777" w:rsidR="008619E5" w:rsidRDefault="00000000">
            <w:pPr>
              <w:jc w:val="center"/>
            </w:pPr>
            <w:r>
              <w:rPr>
                <w:b/>
                <w:bCs/>
                <w:sz w:val="17"/>
                <w:szCs w:val="17"/>
              </w:rPr>
              <w:t>35</w:t>
            </w:r>
          </w:p>
        </w:tc>
        <w:tc>
          <w:tcPr>
            <w:tcW w:w="2140" w:type="dxa"/>
            <w:shd w:val="clear" w:color="auto" w:fill="FDEBD0"/>
            <w:tcMar>
              <w:top w:w="50" w:type="dxa"/>
              <w:left w:w="90" w:type="dxa"/>
              <w:bottom w:w="50" w:type="dxa"/>
              <w:right w:w="90" w:type="dxa"/>
            </w:tcMar>
            <w:vAlign w:val="center"/>
          </w:tcPr>
          <w:p w14:paraId="78B09753" w14:textId="77777777" w:rsidR="008619E5" w:rsidRDefault="00000000">
            <w:pPr>
              <w:jc w:val="center"/>
            </w:pPr>
            <w:r>
              <w:rPr>
                <w:sz w:val="17"/>
                <w:szCs w:val="17"/>
              </w:rPr>
              <w:t>Medium</w:t>
            </w:r>
          </w:p>
        </w:tc>
      </w:tr>
      <w:tr w:rsidR="008619E5" w14:paraId="1D1ADEBE" w14:textId="77777777">
        <w:tc>
          <w:tcPr>
            <w:tcW w:w="820" w:type="dxa"/>
            <w:tcMar>
              <w:top w:w="50" w:type="dxa"/>
              <w:left w:w="90" w:type="dxa"/>
              <w:bottom w:w="50" w:type="dxa"/>
              <w:right w:w="90" w:type="dxa"/>
            </w:tcMar>
            <w:vAlign w:val="center"/>
          </w:tcPr>
          <w:p w14:paraId="0236F51F" w14:textId="77777777" w:rsidR="008619E5" w:rsidRDefault="00000000">
            <w:r>
              <w:rPr>
                <w:b/>
                <w:bCs/>
                <w:sz w:val="17"/>
                <w:szCs w:val="17"/>
              </w:rPr>
              <w:t>R-009</w:t>
            </w:r>
          </w:p>
        </w:tc>
        <w:tc>
          <w:tcPr>
            <w:tcW w:w="3500" w:type="dxa"/>
            <w:tcMar>
              <w:top w:w="50" w:type="dxa"/>
              <w:left w:w="90" w:type="dxa"/>
              <w:bottom w:w="50" w:type="dxa"/>
              <w:right w:w="90" w:type="dxa"/>
            </w:tcMar>
            <w:vAlign w:val="center"/>
          </w:tcPr>
          <w:p w14:paraId="1166582B" w14:textId="77777777" w:rsidR="008619E5" w:rsidRDefault="00000000">
            <w:r>
              <w:rPr>
                <w:sz w:val="17"/>
                <w:szCs w:val="17"/>
              </w:rPr>
              <w:t>IT systems and data harmonization cost overrun and timeline delay</w:t>
            </w:r>
          </w:p>
        </w:tc>
        <w:tc>
          <w:tcPr>
            <w:tcW w:w="1080" w:type="dxa"/>
            <w:tcMar>
              <w:top w:w="50" w:type="dxa"/>
              <w:left w:w="90" w:type="dxa"/>
              <w:bottom w:w="50" w:type="dxa"/>
              <w:right w:w="90" w:type="dxa"/>
            </w:tcMar>
            <w:vAlign w:val="center"/>
          </w:tcPr>
          <w:p w14:paraId="1E511C0D" w14:textId="77777777" w:rsidR="008619E5" w:rsidRDefault="00000000">
            <w:r>
              <w:rPr>
                <w:sz w:val="17"/>
                <w:szCs w:val="17"/>
              </w:rPr>
              <w:t>Operational</w:t>
            </w:r>
          </w:p>
        </w:tc>
        <w:tc>
          <w:tcPr>
            <w:tcW w:w="540" w:type="dxa"/>
            <w:tcMar>
              <w:top w:w="50" w:type="dxa"/>
              <w:left w:w="90" w:type="dxa"/>
              <w:bottom w:w="50" w:type="dxa"/>
              <w:right w:w="90" w:type="dxa"/>
            </w:tcMar>
            <w:vAlign w:val="center"/>
          </w:tcPr>
          <w:p w14:paraId="28ADF292" w14:textId="77777777" w:rsidR="008619E5" w:rsidRDefault="00000000">
            <w:pPr>
              <w:jc w:val="center"/>
            </w:pPr>
            <w:r>
              <w:rPr>
                <w:sz w:val="17"/>
                <w:szCs w:val="17"/>
              </w:rPr>
              <w:t>5</w:t>
            </w:r>
          </w:p>
        </w:tc>
        <w:tc>
          <w:tcPr>
            <w:tcW w:w="540" w:type="dxa"/>
            <w:tcMar>
              <w:top w:w="50" w:type="dxa"/>
              <w:left w:w="90" w:type="dxa"/>
              <w:bottom w:w="50" w:type="dxa"/>
              <w:right w:w="90" w:type="dxa"/>
            </w:tcMar>
            <w:vAlign w:val="center"/>
          </w:tcPr>
          <w:p w14:paraId="343F8855" w14:textId="77777777" w:rsidR="008619E5" w:rsidRDefault="00000000">
            <w:pPr>
              <w:jc w:val="center"/>
            </w:pPr>
            <w:r>
              <w:rPr>
                <w:sz w:val="17"/>
                <w:szCs w:val="17"/>
              </w:rPr>
              <w:t>6</w:t>
            </w:r>
          </w:p>
        </w:tc>
        <w:tc>
          <w:tcPr>
            <w:tcW w:w="740" w:type="dxa"/>
            <w:tcMar>
              <w:top w:w="50" w:type="dxa"/>
              <w:left w:w="90" w:type="dxa"/>
              <w:bottom w:w="50" w:type="dxa"/>
              <w:right w:w="90" w:type="dxa"/>
            </w:tcMar>
            <w:vAlign w:val="center"/>
          </w:tcPr>
          <w:p w14:paraId="045DEEB0" w14:textId="77777777" w:rsidR="008619E5" w:rsidRDefault="00000000">
            <w:pPr>
              <w:jc w:val="center"/>
            </w:pPr>
            <w:r>
              <w:rPr>
                <w:b/>
                <w:bCs/>
                <w:sz w:val="17"/>
                <w:szCs w:val="17"/>
              </w:rPr>
              <w:t>30</w:t>
            </w:r>
          </w:p>
        </w:tc>
        <w:tc>
          <w:tcPr>
            <w:tcW w:w="2140" w:type="dxa"/>
            <w:shd w:val="clear" w:color="auto" w:fill="FDEBD0"/>
            <w:tcMar>
              <w:top w:w="50" w:type="dxa"/>
              <w:left w:w="90" w:type="dxa"/>
              <w:bottom w:w="50" w:type="dxa"/>
              <w:right w:w="90" w:type="dxa"/>
            </w:tcMar>
            <w:vAlign w:val="center"/>
          </w:tcPr>
          <w:p w14:paraId="229A8632" w14:textId="77777777" w:rsidR="008619E5" w:rsidRDefault="00000000">
            <w:pPr>
              <w:jc w:val="center"/>
            </w:pPr>
            <w:r>
              <w:rPr>
                <w:sz w:val="17"/>
                <w:szCs w:val="17"/>
              </w:rPr>
              <w:t>Medium</w:t>
            </w:r>
          </w:p>
        </w:tc>
      </w:tr>
      <w:tr w:rsidR="008619E5" w14:paraId="604D04FD" w14:textId="77777777">
        <w:tc>
          <w:tcPr>
            <w:tcW w:w="820" w:type="dxa"/>
            <w:tcMar>
              <w:top w:w="50" w:type="dxa"/>
              <w:left w:w="90" w:type="dxa"/>
              <w:bottom w:w="50" w:type="dxa"/>
              <w:right w:w="90" w:type="dxa"/>
            </w:tcMar>
            <w:vAlign w:val="center"/>
          </w:tcPr>
          <w:p w14:paraId="2ADFE9CE" w14:textId="77777777" w:rsidR="008619E5" w:rsidRDefault="00000000">
            <w:r>
              <w:rPr>
                <w:b/>
                <w:bCs/>
                <w:sz w:val="17"/>
                <w:szCs w:val="17"/>
              </w:rPr>
              <w:lastRenderedPageBreak/>
              <w:t>R-010</w:t>
            </w:r>
          </w:p>
        </w:tc>
        <w:tc>
          <w:tcPr>
            <w:tcW w:w="3500" w:type="dxa"/>
            <w:tcMar>
              <w:top w:w="50" w:type="dxa"/>
              <w:left w:w="90" w:type="dxa"/>
              <w:bottom w:w="50" w:type="dxa"/>
              <w:right w:w="90" w:type="dxa"/>
            </w:tcMar>
            <w:vAlign w:val="center"/>
          </w:tcPr>
          <w:p w14:paraId="6B1941F3" w14:textId="77777777" w:rsidR="008619E5" w:rsidRDefault="00000000">
            <w:r>
              <w:rPr>
                <w:sz w:val="17"/>
                <w:szCs w:val="17"/>
              </w:rPr>
              <w:t>ADC combination therapy first-mover opportunity (positive risk)</w:t>
            </w:r>
          </w:p>
        </w:tc>
        <w:tc>
          <w:tcPr>
            <w:tcW w:w="1080" w:type="dxa"/>
            <w:tcMar>
              <w:top w:w="50" w:type="dxa"/>
              <w:left w:w="90" w:type="dxa"/>
              <w:bottom w:w="50" w:type="dxa"/>
              <w:right w:w="90" w:type="dxa"/>
            </w:tcMar>
            <w:vAlign w:val="center"/>
          </w:tcPr>
          <w:p w14:paraId="4303F75F" w14:textId="77777777" w:rsidR="008619E5" w:rsidRDefault="00000000">
            <w:r>
              <w:rPr>
                <w:sz w:val="17"/>
                <w:szCs w:val="17"/>
              </w:rPr>
              <w:t>Strategic</w:t>
            </w:r>
          </w:p>
        </w:tc>
        <w:tc>
          <w:tcPr>
            <w:tcW w:w="540" w:type="dxa"/>
            <w:tcMar>
              <w:top w:w="50" w:type="dxa"/>
              <w:left w:w="90" w:type="dxa"/>
              <w:bottom w:w="50" w:type="dxa"/>
              <w:right w:w="90" w:type="dxa"/>
            </w:tcMar>
            <w:vAlign w:val="center"/>
          </w:tcPr>
          <w:p w14:paraId="0A35C72A" w14:textId="77777777" w:rsidR="008619E5" w:rsidRDefault="00000000">
            <w:pPr>
              <w:jc w:val="center"/>
            </w:pPr>
            <w:r>
              <w:rPr>
                <w:sz w:val="17"/>
                <w:szCs w:val="17"/>
              </w:rPr>
              <w:t>7</w:t>
            </w:r>
          </w:p>
        </w:tc>
        <w:tc>
          <w:tcPr>
            <w:tcW w:w="540" w:type="dxa"/>
            <w:tcMar>
              <w:top w:w="50" w:type="dxa"/>
              <w:left w:w="90" w:type="dxa"/>
              <w:bottom w:w="50" w:type="dxa"/>
              <w:right w:w="90" w:type="dxa"/>
            </w:tcMar>
            <w:vAlign w:val="center"/>
          </w:tcPr>
          <w:p w14:paraId="4C264CF4" w14:textId="77777777" w:rsidR="008619E5" w:rsidRDefault="00000000">
            <w:pPr>
              <w:jc w:val="center"/>
            </w:pPr>
            <w:r>
              <w:rPr>
                <w:sz w:val="17"/>
                <w:szCs w:val="17"/>
              </w:rPr>
              <w:t>8</w:t>
            </w:r>
          </w:p>
        </w:tc>
        <w:tc>
          <w:tcPr>
            <w:tcW w:w="740" w:type="dxa"/>
            <w:tcMar>
              <w:top w:w="50" w:type="dxa"/>
              <w:left w:w="90" w:type="dxa"/>
              <w:bottom w:w="50" w:type="dxa"/>
              <w:right w:w="90" w:type="dxa"/>
            </w:tcMar>
            <w:vAlign w:val="center"/>
          </w:tcPr>
          <w:p w14:paraId="74631D68" w14:textId="77777777" w:rsidR="008619E5" w:rsidRDefault="00000000">
            <w:pPr>
              <w:jc w:val="center"/>
            </w:pPr>
            <w:r>
              <w:rPr>
                <w:b/>
                <w:bCs/>
                <w:sz w:val="17"/>
                <w:szCs w:val="17"/>
              </w:rPr>
              <w:t>56</w:t>
            </w:r>
          </w:p>
        </w:tc>
        <w:tc>
          <w:tcPr>
            <w:tcW w:w="2140" w:type="dxa"/>
            <w:shd w:val="clear" w:color="auto" w:fill="FADBD8"/>
            <w:tcMar>
              <w:top w:w="50" w:type="dxa"/>
              <w:left w:w="90" w:type="dxa"/>
              <w:bottom w:w="50" w:type="dxa"/>
              <w:right w:w="90" w:type="dxa"/>
            </w:tcMar>
            <w:vAlign w:val="center"/>
          </w:tcPr>
          <w:p w14:paraId="196C06C9" w14:textId="77777777" w:rsidR="008619E5" w:rsidRDefault="00000000">
            <w:pPr>
              <w:jc w:val="center"/>
            </w:pPr>
            <w:r>
              <w:rPr>
                <w:sz w:val="17"/>
                <w:szCs w:val="17"/>
              </w:rPr>
              <w:t>High</w:t>
            </w:r>
          </w:p>
        </w:tc>
      </w:tr>
      <w:tr w:rsidR="008619E5" w14:paraId="66877E7D" w14:textId="77777777">
        <w:tc>
          <w:tcPr>
            <w:tcW w:w="820" w:type="dxa"/>
            <w:tcMar>
              <w:top w:w="50" w:type="dxa"/>
              <w:left w:w="90" w:type="dxa"/>
              <w:bottom w:w="50" w:type="dxa"/>
              <w:right w:w="90" w:type="dxa"/>
            </w:tcMar>
            <w:vAlign w:val="center"/>
          </w:tcPr>
          <w:p w14:paraId="05C5520E" w14:textId="77777777" w:rsidR="008619E5" w:rsidRDefault="00000000">
            <w:r>
              <w:rPr>
                <w:b/>
                <w:bCs/>
                <w:sz w:val="17"/>
                <w:szCs w:val="17"/>
              </w:rPr>
              <w:t>R-011</w:t>
            </w:r>
          </w:p>
        </w:tc>
        <w:tc>
          <w:tcPr>
            <w:tcW w:w="3500" w:type="dxa"/>
            <w:tcMar>
              <w:top w:w="50" w:type="dxa"/>
              <w:left w:w="90" w:type="dxa"/>
              <w:bottom w:w="50" w:type="dxa"/>
              <w:right w:w="90" w:type="dxa"/>
            </w:tcMar>
            <w:vAlign w:val="center"/>
          </w:tcPr>
          <w:p w14:paraId="7DE98506" w14:textId="77777777" w:rsidR="008619E5" w:rsidRDefault="00000000">
            <w:r>
              <w:rPr>
                <w:sz w:val="17"/>
                <w:szCs w:val="17"/>
              </w:rPr>
              <w:t>Synergy realization shortfall against $1B target</w:t>
            </w:r>
          </w:p>
        </w:tc>
        <w:tc>
          <w:tcPr>
            <w:tcW w:w="1080" w:type="dxa"/>
            <w:tcMar>
              <w:top w:w="50" w:type="dxa"/>
              <w:left w:w="90" w:type="dxa"/>
              <w:bottom w:w="50" w:type="dxa"/>
              <w:right w:w="90" w:type="dxa"/>
            </w:tcMar>
            <w:vAlign w:val="center"/>
          </w:tcPr>
          <w:p w14:paraId="02A14240" w14:textId="77777777" w:rsidR="008619E5" w:rsidRDefault="00000000">
            <w:r>
              <w:rPr>
                <w:sz w:val="17"/>
                <w:szCs w:val="17"/>
              </w:rPr>
              <w:t>Financial</w:t>
            </w:r>
          </w:p>
        </w:tc>
        <w:tc>
          <w:tcPr>
            <w:tcW w:w="540" w:type="dxa"/>
            <w:tcMar>
              <w:top w:w="50" w:type="dxa"/>
              <w:left w:w="90" w:type="dxa"/>
              <w:bottom w:w="50" w:type="dxa"/>
              <w:right w:w="90" w:type="dxa"/>
            </w:tcMar>
            <w:vAlign w:val="center"/>
          </w:tcPr>
          <w:p w14:paraId="7F774985" w14:textId="77777777" w:rsidR="008619E5" w:rsidRDefault="00000000">
            <w:pPr>
              <w:jc w:val="center"/>
            </w:pPr>
            <w:r>
              <w:rPr>
                <w:sz w:val="17"/>
                <w:szCs w:val="17"/>
              </w:rPr>
              <w:t>6</w:t>
            </w:r>
          </w:p>
        </w:tc>
        <w:tc>
          <w:tcPr>
            <w:tcW w:w="540" w:type="dxa"/>
            <w:tcMar>
              <w:top w:w="50" w:type="dxa"/>
              <w:left w:w="90" w:type="dxa"/>
              <w:bottom w:w="50" w:type="dxa"/>
              <w:right w:w="90" w:type="dxa"/>
            </w:tcMar>
            <w:vAlign w:val="center"/>
          </w:tcPr>
          <w:p w14:paraId="1E4C5CF8" w14:textId="77777777" w:rsidR="008619E5" w:rsidRDefault="00000000">
            <w:pPr>
              <w:jc w:val="center"/>
            </w:pPr>
            <w:r>
              <w:rPr>
                <w:sz w:val="17"/>
                <w:szCs w:val="17"/>
              </w:rPr>
              <w:t>7</w:t>
            </w:r>
          </w:p>
        </w:tc>
        <w:tc>
          <w:tcPr>
            <w:tcW w:w="740" w:type="dxa"/>
            <w:tcMar>
              <w:top w:w="50" w:type="dxa"/>
              <w:left w:w="90" w:type="dxa"/>
              <w:bottom w:w="50" w:type="dxa"/>
              <w:right w:w="90" w:type="dxa"/>
            </w:tcMar>
            <w:vAlign w:val="center"/>
          </w:tcPr>
          <w:p w14:paraId="729764FE" w14:textId="77777777" w:rsidR="008619E5" w:rsidRDefault="00000000">
            <w:pPr>
              <w:jc w:val="center"/>
            </w:pPr>
            <w:r>
              <w:rPr>
                <w:b/>
                <w:bCs/>
                <w:sz w:val="17"/>
                <w:szCs w:val="17"/>
              </w:rPr>
              <w:t>42</w:t>
            </w:r>
          </w:p>
        </w:tc>
        <w:tc>
          <w:tcPr>
            <w:tcW w:w="2140" w:type="dxa"/>
            <w:shd w:val="clear" w:color="auto" w:fill="FDEBD0"/>
            <w:tcMar>
              <w:top w:w="50" w:type="dxa"/>
              <w:left w:w="90" w:type="dxa"/>
              <w:bottom w:w="50" w:type="dxa"/>
              <w:right w:w="90" w:type="dxa"/>
            </w:tcMar>
            <w:vAlign w:val="center"/>
          </w:tcPr>
          <w:p w14:paraId="350A4861" w14:textId="77777777" w:rsidR="008619E5" w:rsidRDefault="00000000">
            <w:pPr>
              <w:jc w:val="center"/>
            </w:pPr>
            <w:r>
              <w:rPr>
                <w:sz w:val="17"/>
                <w:szCs w:val="17"/>
              </w:rPr>
              <w:t>Medium</w:t>
            </w:r>
          </w:p>
        </w:tc>
      </w:tr>
      <w:tr w:rsidR="008619E5" w14:paraId="580590DF" w14:textId="77777777">
        <w:tc>
          <w:tcPr>
            <w:tcW w:w="820" w:type="dxa"/>
            <w:tcMar>
              <w:top w:w="50" w:type="dxa"/>
              <w:left w:w="90" w:type="dxa"/>
              <w:bottom w:w="50" w:type="dxa"/>
              <w:right w:w="90" w:type="dxa"/>
            </w:tcMar>
            <w:vAlign w:val="center"/>
          </w:tcPr>
          <w:p w14:paraId="770C65A9" w14:textId="77777777" w:rsidR="008619E5" w:rsidRDefault="00000000">
            <w:r>
              <w:rPr>
                <w:b/>
                <w:bCs/>
                <w:sz w:val="17"/>
                <w:szCs w:val="17"/>
              </w:rPr>
              <w:t>R-012</w:t>
            </w:r>
          </w:p>
        </w:tc>
        <w:tc>
          <w:tcPr>
            <w:tcW w:w="3500" w:type="dxa"/>
            <w:tcMar>
              <w:top w:w="50" w:type="dxa"/>
              <w:left w:w="90" w:type="dxa"/>
              <w:bottom w:w="50" w:type="dxa"/>
              <w:right w:w="90" w:type="dxa"/>
            </w:tcMar>
            <w:vAlign w:val="center"/>
          </w:tcPr>
          <w:p w14:paraId="31A505F2" w14:textId="77777777" w:rsidR="008619E5" w:rsidRDefault="00000000">
            <w:r>
              <w:rPr>
                <w:sz w:val="17"/>
                <w:szCs w:val="17"/>
              </w:rPr>
              <w:t>Goodwill impairment and DCF value erosion</w:t>
            </w:r>
          </w:p>
        </w:tc>
        <w:tc>
          <w:tcPr>
            <w:tcW w:w="1080" w:type="dxa"/>
            <w:tcMar>
              <w:top w:w="50" w:type="dxa"/>
              <w:left w:w="90" w:type="dxa"/>
              <w:bottom w:w="50" w:type="dxa"/>
              <w:right w:w="90" w:type="dxa"/>
            </w:tcMar>
            <w:vAlign w:val="center"/>
          </w:tcPr>
          <w:p w14:paraId="22E1F101" w14:textId="77777777" w:rsidR="008619E5" w:rsidRDefault="00000000">
            <w:r>
              <w:rPr>
                <w:sz w:val="17"/>
                <w:szCs w:val="17"/>
              </w:rPr>
              <w:t>Financial</w:t>
            </w:r>
          </w:p>
        </w:tc>
        <w:tc>
          <w:tcPr>
            <w:tcW w:w="540" w:type="dxa"/>
            <w:tcMar>
              <w:top w:w="50" w:type="dxa"/>
              <w:left w:w="90" w:type="dxa"/>
              <w:bottom w:w="50" w:type="dxa"/>
              <w:right w:w="90" w:type="dxa"/>
            </w:tcMar>
            <w:vAlign w:val="center"/>
          </w:tcPr>
          <w:p w14:paraId="50E76FE8" w14:textId="77777777" w:rsidR="008619E5" w:rsidRDefault="00000000">
            <w:pPr>
              <w:jc w:val="center"/>
            </w:pPr>
            <w:r>
              <w:rPr>
                <w:sz w:val="17"/>
                <w:szCs w:val="17"/>
              </w:rPr>
              <w:t>5</w:t>
            </w:r>
          </w:p>
        </w:tc>
        <w:tc>
          <w:tcPr>
            <w:tcW w:w="540" w:type="dxa"/>
            <w:tcMar>
              <w:top w:w="50" w:type="dxa"/>
              <w:left w:w="90" w:type="dxa"/>
              <w:bottom w:w="50" w:type="dxa"/>
              <w:right w:w="90" w:type="dxa"/>
            </w:tcMar>
            <w:vAlign w:val="center"/>
          </w:tcPr>
          <w:p w14:paraId="59BCE821" w14:textId="77777777" w:rsidR="008619E5" w:rsidRDefault="00000000">
            <w:pPr>
              <w:jc w:val="center"/>
            </w:pPr>
            <w:r>
              <w:rPr>
                <w:sz w:val="17"/>
                <w:szCs w:val="17"/>
              </w:rPr>
              <w:t>9</w:t>
            </w:r>
          </w:p>
        </w:tc>
        <w:tc>
          <w:tcPr>
            <w:tcW w:w="740" w:type="dxa"/>
            <w:tcMar>
              <w:top w:w="50" w:type="dxa"/>
              <w:left w:w="90" w:type="dxa"/>
              <w:bottom w:w="50" w:type="dxa"/>
              <w:right w:w="90" w:type="dxa"/>
            </w:tcMar>
            <w:vAlign w:val="center"/>
          </w:tcPr>
          <w:p w14:paraId="3F221374" w14:textId="77777777" w:rsidR="008619E5" w:rsidRDefault="00000000">
            <w:pPr>
              <w:jc w:val="center"/>
            </w:pPr>
            <w:r>
              <w:rPr>
                <w:b/>
                <w:bCs/>
                <w:sz w:val="17"/>
                <w:szCs w:val="17"/>
              </w:rPr>
              <w:t>45</w:t>
            </w:r>
          </w:p>
        </w:tc>
        <w:tc>
          <w:tcPr>
            <w:tcW w:w="2140" w:type="dxa"/>
            <w:shd w:val="clear" w:color="auto" w:fill="FDEBD0"/>
            <w:tcMar>
              <w:top w:w="50" w:type="dxa"/>
              <w:left w:w="90" w:type="dxa"/>
              <w:bottom w:w="50" w:type="dxa"/>
              <w:right w:w="90" w:type="dxa"/>
            </w:tcMar>
            <w:vAlign w:val="center"/>
          </w:tcPr>
          <w:p w14:paraId="19511E56" w14:textId="77777777" w:rsidR="008619E5" w:rsidRDefault="00000000">
            <w:pPr>
              <w:jc w:val="center"/>
            </w:pPr>
            <w:r>
              <w:rPr>
                <w:sz w:val="17"/>
                <w:szCs w:val="17"/>
              </w:rPr>
              <w:t>Medium</w:t>
            </w:r>
          </w:p>
        </w:tc>
      </w:tr>
      <w:tr w:rsidR="008619E5" w14:paraId="2854AB94" w14:textId="77777777">
        <w:tc>
          <w:tcPr>
            <w:tcW w:w="820" w:type="dxa"/>
            <w:tcMar>
              <w:top w:w="50" w:type="dxa"/>
              <w:left w:w="90" w:type="dxa"/>
              <w:bottom w:w="50" w:type="dxa"/>
              <w:right w:w="90" w:type="dxa"/>
            </w:tcMar>
            <w:vAlign w:val="center"/>
          </w:tcPr>
          <w:p w14:paraId="6893ADBA" w14:textId="77777777" w:rsidR="008619E5" w:rsidRDefault="00000000">
            <w:r>
              <w:rPr>
                <w:b/>
                <w:bCs/>
                <w:sz w:val="17"/>
                <w:szCs w:val="17"/>
              </w:rPr>
              <w:t>R-013</w:t>
            </w:r>
          </w:p>
        </w:tc>
        <w:tc>
          <w:tcPr>
            <w:tcW w:w="3500" w:type="dxa"/>
            <w:tcMar>
              <w:top w:w="50" w:type="dxa"/>
              <w:left w:w="90" w:type="dxa"/>
              <w:bottom w:w="50" w:type="dxa"/>
              <w:right w:w="90" w:type="dxa"/>
            </w:tcMar>
            <w:vAlign w:val="center"/>
          </w:tcPr>
          <w:p w14:paraId="047C95EF" w14:textId="77777777" w:rsidR="008619E5" w:rsidRDefault="00000000">
            <w:r>
              <w:rPr>
                <w:sz w:val="17"/>
                <w:szCs w:val="17"/>
              </w:rPr>
              <w:t>Free cash flow and dividend sustainability pressure</w:t>
            </w:r>
          </w:p>
        </w:tc>
        <w:tc>
          <w:tcPr>
            <w:tcW w:w="1080" w:type="dxa"/>
            <w:tcMar>
              <w:top w:w="50" w:type="dxa"/>
              <w:left w:w="90" w:type="dxa"/>
              <w:bottom w:w="50" w:type="dxa"/>
              <w:right w:w="90" w:type="dxa"/>
            </w:tcMar>
            <w:vAlign w:val="center"/>
          </w:tcPr>
          <w:p w14:paraId="3A90B1BD" w14:textId="77777777" w:rsidR="008619E5" w:rsidRDefault="00000000">
            <w:r>
              <w:rPr>
                <w:sz w:val="17"/>
                <w:szCs w:val="17"/>
              </w:rPr>
              <w:t>Financial</w:t>
            </w:r>
          </w:p>
        </w:tc>
        <w:tc>
          <w:tcPr>
            <w:tcW w:w="540" w:type="dxa"/>
            <w:tcMar>
              <w:top w:w="50" w:type="dxa"/>
              <w:left w:w="90" w:type="dxa"/>
              <w:bottom w:w="50" w:type="dxa"/>
              <w:right w:w="90" w:type="dxa"/>
            </w:tcMar>
            <w:vAlign w:val="center"/>
          </w:tcPr>
          <w:p w14:paraId="5BFF772D" w14:textId="77777777" w:rsidR="008619E5" w:rsidRDefault="00000000">
            <w:pPr>
              <w:jc w:val="center"/>
            </w:pPr>
            <w:r>
              <w:rPr>
                <w:sz w:val="17"/>
                <w:szCs w:val="17"/>
              </w:rPr>
              <w:t>6</w:t>
            </w:r>
          </w:p>
        </w:tc>
        <w:tc>
          <w:tcPr>
            <w:tcW w:w="540" w:type="dxa"/>
            <w:tcMar>
              <w:top w:w="50" w:type="dxa"/>
              <w:left w:w="90" w:type="dxa"/>
              <w:bottom w:w="50" w:type="dxa"/>
              <w:right w:w="90" w:type="dxa"/>
            </w:tcMar>
            <w:vAlign w:val="center"/>
          </w:tcPr>
          <w:p w14:paraId="728BD92E" w14:textId="77777777" w:rsidR="008619E5" w:rsidRDefault="00000000">
            <w:pPr>
              <w:jc w:val="center"/>
            </w:pPr>
            <w:r>
              <w:rPr>
                <w:sz w:val="17"/>
                <w:szCs w:val="17"/>
              </w:rPr>
              <w:t>8</w:t>
            </w:r>
          </w:p>
        </w:tc>
        <w:tc>
          <w:tcPr>
            <w:tcW w:w="740" w:type="dxa"/>
            <w:tcMar>
              <w:top w:w="50" w:type="dxa"/>
              <w:left w:w="90" w:type="dxa"/>
              <w:bottom w:w="50" w:type="dxa"/>
              <w:right w:w="90" w:type="dxa"/>
            </w:tcMar>
            <w:vAlign w:val="center"/>
          </w:tcPr>
          <w:p w14:paraId="7A179FC3" w14:textId="77777777" w:rsidR="008619E5" w:rsidRDefault="00000000">
            <w:pPr>
              <w:jc w:val="center"/>
            </w:pPr>
            <w:r>
              <w:rPr>
                <w:b/>
                <w:bCs/>
                <w:sz w:val="17"/>
                <w:szCs w:val="17"/>
              </w:rPr>
              <w:t>48</w:t>
            </w:r>
          </w:p>
        </w:tc>
        <w:tc>
          <w:tcPr>
            <w:tcW w:w="2140" w:type="dxa"/>
            <w:shd w:val="clear" w:color="auto" w:fill="FDEBD0"/>
            <w:tcMar>
              <w:top w:w="50" w:type="dxa"/>
              <w:left w:w="90" w:type="dxa"/>
              <w:bottom w:w="50" w:type="dxa"/>
              <w:right w:w="90" w:type="dxa"/>
            </w:tcMar>
            <w:vAlign w:val="center"/>
          </w:tcPr>
          <w:p w14:paraId="7758E4F6" w14:textId="77777777" w:rsidR="008619E5" w:rsidRDefault="00000000">
            <w:pPr>
              <w:jc w:val="center"/>
            </w:pPr>
            <w:r>
              <w:rPr>
                <w:sz w:val="17"/>
                <w:szCs w:val="17"/>
              </w:rPr>
              <w:t>Medium</w:t>
            </w:r>
          </w:p>
        </w:tc>
      </w:tr>
      <w:tr w:rsidR="008619E5" w14:paraId="58EB7E57" w14:textId="77777777">
        <w:tc>
          <w:tcPr>
            <w:tcW w:w="820" w:type="dxa"/>
            <w:tcMar>
              <w:top w:w="50" w:type="dxa"/>
              <w:left w:w="90" w:type="dxa"/>
              <w:bottom w:w="50" w:type="dxa"/>
              <w:right w:w="90" w:type="dxa"/>
            </w:tcMar>
            <w:vAlign w:val="center"/>
          </w:tcPr>
          <w:p w14:paraId="53470A22" w14:textId="77777777" w:rsidR="008619E5" w:rsidRDefault="00000000">
            <w:r>
              <w:rPr>
                <w:b/>
                <w:bCs/>
                <w:sz w:val="17"/>
                <w:szCs w:val="17"/>
              </w:rPr>
              <w:t>R-014</w:t>
            </w:r>
          </w:p>
        </w:tc>
        <w:tc>
          <w:tcPr>
            <w:tcW w:w="3500" w:type="dxa"/>
            <w:tcMar>
              <w:top w:w="50" w:type="dxa"/>
              <w:left w:w="90" w:type="dxa"/>
              <w:bottom w:w="50" w:type="dxa"/>
              <w:right w:w="90" w:type="dxa"/>
            </w:tcMar>
            <w:vAlign w:val="center"/>
          </w:tcPr>
          <w:p w14:paraId="675C8B1F" w14:textId="77777777" w:rsidR="008619E5" w:rsidRDefault="00000000">
            <w:r>
              <w:rPr>
                <w:sz w:val="17"/>
                <w:szCs w:val="17"/>
              </w:rPr>
              <w:t>Antitrust post-close compliance and FTC ongoing scrutiny</w:t>
            </w:r>
          </w:p>
        </w:tc>
        <w:tc>
          <w:tcPr>
            <w:tcW w:w="1080" w:type="dxa"/>
            <w:tcMar>
              <w:top w:w="50" w:type="dxa"/>
              <w:left w:w="90" w:type="dxa"/>
              <w:bottom w:w="50" w:type="dxa"/>
              <w:right w:w="90" w:type="dxa"/>
            </w:tcMar>
            <w:vAlign w:val="center"/>
          </w:tcPr>
          <w:p w14:paraId="64521D1F" w14:textId="77777777" w:rsidR="008619E5" w:rsidRDefault="00000000">
            <w:r>
              <w:rPr>
                <w:sz w:val="17"/>
                <w:szCs w:val="17"/>
              </w:rPr>
              <w:t>Legal/Reg.</w:t>
            </w:r>
          </w:p>
        </w:tc>
        <w:tc>
          <w:tcPr>
            <w:tcW w:w="540" w:type="dxa"/>
            <w:tcMar>
              <w:top w:w="50" w:type="dxa"/>
              <w:left w:w="90" w:type="dxa"/>
              <w:bottom w:w="50" w:type="dxa"/>
              <w:right w:w="90" w:type="dxa"/>
            </w:tcMar>
            <w:vAlign w:val="center"/>
          </w:tcPr>
          <w:p w14:paraId="3D340794" w14:textId="77777777" w:rsidR="008619E5" w:rsidRDefault="00000000">
            <w:pPr>
              <w:jc w:val="center"/>
            </w:pPr>
            <w:r>
              <w:rPr>
                <w:sz w:val="17"/>
                <w:szCs w:val="17"/>
              </w:rPr>
              <w:t>4</w:t>
            </w:r>
          </w:p>
        </w:tc>
        <w:tc>
          <w:tcPr>
            <w:tcW w:w="540" w:type="dxa"/>
            <w:tcMar>
              <w:top w:w="50" w:type="dxa"/>
              <w:left w:w="90" w:type="dxa"/>
              <w:bottom w:w="50" w:type="dxa"/>
              <w:right w:w="90" w:type="dxa"/>
            </w:tcMar>
            <w:vAlign w:val="center"/>
          </w:tcPr>
          <w:p w14:paraId="10138007" w14:textId="77777777" w:rsidR="008619E5" w:rsidRDefault="00000000">
            <w:pPr>
              <w:jc w:val="center"/>
            </w:pPr>
            <w:r>
              <w:rPr>
                <w:sz w:val="17"/>
                <w:szCs w:val="17"/>
              </w:rPr>
              <w:t>6</w:t>
            </w:r>
          </w:p>
        </w:tc>
        <w:tc>
          <w:tcPr>
            <w:tcW w:w="740" w:type="dxa"/>
            <w:tcMar>
              <w:top w:w="50" w:type="dxa"/>
              <w:left w:w="90" w:type="dxa"/>
              <w:bottom w:w="50" w:type="dxa"/>
              <w:right w:w="90" w:type="dxa"/>
            </w:tcMar>
            <w:vAlign w:val="center"/>
          </w:tcPr>
          <w:p w14:paraId="5723360D" w14:textId="77777777" w:rsidR="008619E5" w:rsidRDefault="00000000">
            <w:pPr>
              <w:jc w:val="center"/>
            </w:pPr>
            <w:r>
              <w:rPr>
                <w:b/>
                <w:bCs/>
                <w:sz w:val="17"/>
                <w:szCs w:val="17"/>
              </w:rPr>
              <w:t>24</w:t>
            </w:r>
          </w:p>
        </w:tc>
        <w:tc>
          <w:tcPr>
            <w:tcW w:w="2140" w:type="dxa"/>
            <w:shd w:val="clear" w:color="auto" w:fill="D5F5E3"/>
            <w:tcMar>
              <w:top w:w="50" w:type="dxa"/>
              <w:left w:w="90" w:type="dxa"/>
              <w:bottom w:w="50" w:type="dxa"/>
              <w:right w:w="90" w:type="dxa"/>
            </w:tcMar>
            <w:vAlign w:val="center"/>
          </w:tcPr>
          <w:p w14:paraId="7CDD82AF" w14:textId="77777777" w:rsidR="008619E5" w:rsidRDefault="00000000">
            <w:pPr>
              <w:jc w:val="center"/>
            </w:pPr>
            <w:r>
              <w:rPr>
                <w:sz w:val="17"/>
                <w:szCs w:val="17"/>
              </w:rPr>
              <w:t>Low</w:t>
            </w:r>
          </w:p>
        </w:tc>
      </w:tr>
      <w:tr w:rsidR="008619E5" w14:paraId="4EC8E570" w14:textId="77777777">
        <w:tc>
          <w:tcPr>
            <w:tcW w:w="820" w:type="dxa"/>
            <w:tcMar>
              <w:top w:w="50" w:type="dxa"/>
              <w:left w:w="90" w:type="dxa"/>
              <w:bottom w:w="50" w:type="dxa"/>
              <w:right w:w="90" w:type="dxa"/>
            </w:tcMar>
            <w:vAlign w:val="center"/>
          </w:tcPr>
          <w:p w14:paraId="5D5AB8BA" w14:textId="77777777" w:rsidR="008619E5" w:rsidRDefault="00000000">
            <w:r>
              <w:rPr>
                <w:b/>
                <w:bCs/>
                <w:sz w:val="17"/>
                <w:szCs w:val="17"/>
              </w:rPr>
              <w:t>R-015</w:t>
            </w:r>
          </w:p>
        </w:tc>
        <w:tc>
          <w:tcPr>
            <w:tcW w:w="3500" w:type="dxa"/>
            <w:tcMar>
              <w:top w:w="50" w:type="dxa"/>
              <w:left w:w="90" w:type="dxa"/>
              <w:bottom w:w="50" w:type="dxa"/>
              <w:right w:w="90" w:type="dxa"/>
            </w:tcMar>
            <w:vAlign w:val="center"/>
          </w:tcPr>
          <w:p w14:paraId="7C6DB1B3" w14:textId="77777777" w:rsidR="008619E5" w:rsidRDefault="00000000">
            <w:r>
              <w:rPr>
                <w:sz w:val="17"/>
                <w:szCs w:val="17"/>
              </w:rPr>
              <w:t>Active litigation and ADC intellectual-property dispute risk</w:t>
            </w:r>
          </w:p>
        </w:tc>
        <w:tc>
          <w:tcPr>
            <w:tcW w:w="1080" w:type="dxa"/>
            <w:tcMar>
              <w:top w:w="50" w:type="dxa"/>
              <w:left w:w="90" w:type="dxa"/>
              <w:bottom w:w="50" w:type="dxa"/>
              <w:right w:w="90" w:type="dxa"/>
            </w:tcMar>
            <w:vAlign w:val="center"/>
          </w:tcPr>
          <w:p w14:paraId="17472314" w14:textId="77777777" w:rsidR="008619E5" w:rsidRDefault="00000000">
            <w:r>
              <w:rPr>
                <w:sz w:val="17"/>
                <w:szCs w:val="17"/>
              </w:rPr>
              <w:t>Legal/Reg.</w:t>
            </w:r>
          </w:p>
        </w:tc>
        <w:tc>
          <w:tcPr>
            <w:tcW w:w="540" w:type="dxa"/>
            <w:tcMar>
              <w:top w:w="50" w:type="dxa"/>
              <w:left w:w="90" w:type="dxa"/>
              <w:bottom w:w="50" w:type="dxa"/>
              <w:right w:w="90" w:type="dxa"/>
            </w:tcMar>
            <w:vAlign w:val="center"/>
          </w:tcPr>
          <w:p w14:paraId="1F198445" w14:textId="77777777" w:rsidR="008619E5" w:rsidRDefault="00000000">
            <w:pPr>
              <w:jc w:val="center"/>
            </w:pPr>
            <w:r>
              <w:rPr>
                <w:sz w:val="17"/>
                <w:szCs w:val="17"/>
              </w:rPr>
              <w:t>5</w:t>
            </w:r>
          </w:p>
        </w:tc>
        <w:tc>
          <w:tcPr>
            <w:tcW w:w="540" w:type="dxa"/>
            <w:tcMar>
              <w:top w:w="50" w:type="dxa"/>
              <w:left w:w="90" w:type="dxa"/>
              <w:bottom w:w="50" w:type="dxa"/>
              <w:right w:w="90" w:type="dxa"/>
            </w:tcMar>
            <w:vAlign w:val="center"/>
          </w:tcPr>
          <w:p w14:paraId="30F401EA" w14:textId="77777777" w:rsidR="008619E5" w:rsidRDefault="00000000">
            <w:pPr>
              <w:jc w:val="center"/>
            </w:pPr>
            <w:r>
              <w:rPr>
                <w:sz w:val="17"/>
                <w:szCs w:val="17"/>
              </w:rPr>
              <w:t>8</w:t>
            </w:r>
          </w:p>
        </w:tc>
        <w:tc>
          <w:tcPr>
            <w:tcW w:w="740" w:type="dxa"/>
            <w:tcMar>
              <w:top w:w="50" w:type="dxa"/>
              <w:left w:w="90" w:type="dxa"/>
              <w:bottom w:w="50" w:type="dxa"/>
              <w:right w:w="90" w:type="dxa"/>
            </w:tcMar>
            <w:vAlign w:val="center"/>
          </w:tcPr>
          <w:p w14:paraId="1BFA465A" w14:textId="77777777" w:rsidR="008619E5" w:rsidRDefault="00000000">
            <w:pPr>
              <w:jc w:val="center"/>
            </w:pPr>
            <w:r>
              <w:rPr>
                <w:b/>
                <w:bCs/>
                <w:sz w:val="17"/>
                <w:szCs w:val="17"/>
              </w:rPr>
              <w:t>40</w:t>
            </w:r>
          </w:p>
        </w:tc>
        <w:tc>
          <w:tcPr>
            <w:tcW w:w="2140" w:type="dxa"/>
            <w:shd w:val="clear" w:color="auto" w:fill="FDEBD0"/>
            <w:tcMar>
              <w:top w:w="50" w:type="dxa"/>
              <w:left w:w="90" w:type="dxa"/>
              <w:bottom w:w="50" w:type="dxa"/>
              <w:right w:w="90" w:type="dxa"/>
            </w:tcMar>
            <w:vAlign w:val="center"/>
          </w:tcPr>
          <w:p w14:paraId="6B69A417" w14:textId="77777777" w:rsidR="008619E5" w:rsidRDefault="00000000">
            <w:pPr>
              <w:jc w:val="center"/>
            </w:pPr>
            <w:r>
              <w:rPr>
                <w:sz w:val="17"/>
                <w:szCs w:val="17"/>
              </w:rPr>
              <w:t>Medium</w:t>
            </w:r>
          </w:p>
        </w:tc>
      </w:tr>
      <w:tr w:rsidR="008619E5" w14:paraId="6B6276A3" w14:textId="77777777">
        <w:tc>
          <w:tcPr>
            <w:tcW w:w="820" w:type="dxa"/>
            <w:tcMar>
              <w:top w:w="50" w:type="dxa"/>
              <w:left w:w="90" w:type="dxa"/>
              <w:bottom w:w="50" w:type="dxa"/>
              <w:right w:w="90" w:type="dxa"/>
            </w:tcMar>
            <w:vAlign w:val="center"/>
          </w:tcPr>
          <w:p w14:paraId="0C16E6DD" w14:textId="77777777" w:rsidR="008619E5" w:rsidRDefault="00000000">
            <w:r>
              <w:rPr>
                <w:b/>
                <w:bCs/>
                <w:sz w:val="17"/>
                <w:szCs w:val="17"/>
              </w:rPr>
              <w:t>R-016</w:t>
            </w:r>
          </w:p>
        </w:tc>
        <w:tc>
          <w:tcPr>
            <w:tcW w:w="3500" w:type="dxa"/>
            <w:tcMar>
              <w:top w:w="50" w:type="dxa"/>
              <w:left w:w="90" w:type="dxa"/>
              <w:bottom w:w="50" w:type="dxa"/>
              <w:right w:w="90" w:type="dxa"/>
            </w:tcMar>
            <w:vAlign w:val="center"/>
          </w:tcPr>
          <w:p w14:paraId="65A35259" w14:textId="77777777" w:rsidR="008619E5" w:rsidRDefault="00000000">
            <w:r>
              <w:rPr>
                <w:sz w:val="17"/>
                <w:szCs w:val="17"/>
              </w:rPr>
              <w:t>R&amp;D pipeline integration disruption across 60 combined programs</w:t>
            </w:r>
          </w:p>
        </w:tc>
        <w:tc>
          <w:tcPr>
            <w:tcW w:w="1080" w:type="dxa"/>
            <w:tcMar>
              <w:top w:w="50" w:type="dxa"/>
              <w:left w:w="90" w:type="dxa"/>
              <w:bottom w:w="50" w:type="dxa"/>
              <w:right w:w="90" w:type="dxa"/>
            </w:tcMar>
            <w:vAlign w:val="center"/>
          </w:tcPr>
          <w:p w14:paraId="459B04A9" w14:textId="77777777" w:rsidR="008619E5" w:rsidRDefault="00000000">
            <w:r>
              <w:rPr>
                <w:sz w:val="17"/>
                <w:szCs w:val="17"/>
              </w:rPr>
              <w:t>Operational</w:t>
            </w:r>
          </w:p>
        </w:tc>
        <w:tc>
          <w:tcPr>
            <w:tcW w:w="540" w:type="dxa"/>
            <w:tcMar>
              <w:top w:w="50" w:type="dxa"/>
              <w:left w:w="90" w:type="dxa"/>
              <w:bottom w:w="50" w:type="dxa"/>
              <w:right w:w="90" w:type="dxa"/>
            </w:tcMar>
            <w:vAlign w:val="center"/>
          </w:tcPr>
          <w:p w14:paraId="670EA98C" w14:textId="77777777" w:rsidR="008619E5" w:rsidRDefault="00000000">
            <w:pPr>
              <w:jc w:val="center"/>
            </w:pPr>
            <w:r>
              <w:rPr>
                <w:sz w:val="17"/>
                <w:szCs w:val="17"/>
              </w:rPr>
              <w:t>6</w:t>
            </w:r>
          </w:p>
        </w:tc>
        <w:tc>
          <w:tcPr>
            <w:tcW w:w="540" w:type="dxa"/>
            <w:tcMar>
              <w:top w:w="50" w:type="dxa"/>
              <w:left w:w="90" w:type="dxa"/>
              <w:bottom w:w="50" w:type="dxa"/>
              <w:right w:w="90" w:type="dxa"/>
            </w:tcMar>
            <w:vAlign w:val="center"/>
          </w:tcPr>
          <w:p w14:paraId="388B5E1D" w14:textId="77777777" w:rsidR="008619E5" w:rsidRDefault="00000000">
            <w:pPr>
              <w:jc w:val="center"/>
            </w:pPr>
            <w:r>
              <w:rPr>
                <w:sz w:val="17"/>
                <w:szCs w:val="17"/>
              </w:rPr>
              <w:t>8</w:t>
            </w:r>
          </w:p>
        </w:tc>
        <w:tc>
          <w:tcPr>
            <w:tcW w:w="740" w:type="dxa"/>
            <w:tcMar>
              <w:top w:w="50" w:type="dxa"/>
              <w:left w:w="90" w:type="dxa"/>
              <w:bottom w:w="50" w:type="dxa"/>
              <w:right w:w="90" w:type="dxa"/>
            </w:tcMar>
            <w:vAlign w:val="center"/>
          </w:tcPr>
          <w:p w14:paraId="55A65AD9" w14:textId="77777777" w:rsidR="008619E5" w:rsidRDefault="00000000">
            <w:pPr>
              <w:jc w:val="center"/>
            </w:pPr>
            <w:r>
              <w:rPr>
                <w:b/>
                <w:bCs/>
                <w:sz w:val="17"/>
                <w:szCs w:val="17"/>
              </w:rPr>
              <w:t>48</w:t>
            </w:r>
          </w:p>
        </w:tc>
        <w:tc>
          <w:tcPr>
            <w:tcW w:w="2140" w:type="dxa"/>
            <w:shd w:val="clear" w:color="auto" w:fill="FDEBD0"/>
            <w:tcMar>
              <w:top w:w="50" w:type="dxa"/>
              <w:left w:w="90" w:type="dxa"/>
              <w:bottom w:w="50" w:type="dxa"/>
              <w:right w:w="90" w:type="dxa"/>
            </w:tcMar>
            <w:vAlign w:val="center"/>
          </w:tcPr>
          <w:p w14:paraId="69F80847" w14:textId="77777777" w:rsidR="008619E5" w:rsidRDefault="00000000">
            <w:pPr>
              <w:jc w:val="center"/>
            </w:pPr>
            <w:r>
              <w:rPr>
                <w:sz w:val="17"/>
                <w:szCs w:val="17"/>
              </w:rPr>
              <w:t>Medium</w:t>
            </w:r>
          </w:p>
        </w:tc>
      </w:tr>
      <w:tr w:rsidR="008619E5" w14:paraId="0576C371" w14:textId="77777777">
        <w:tc>
          <w:tcPr>
            <w:tcW w:w="820" w:type="dxa"/>
            <w:tcMar>
              <w:top w:w="50" w:type="dxa"/>
              <w:left w:w="90" w:type="dxa"/>
              <w:bottom w:w="50" w:type="dxa"/>
              <w:right w:w="90" w:type="dxa"/>
            </w:tcMar>
            <w:vAlign w:val="center"/>
          </w:tcPr>
          <w:p w14:paraId="3B6E4C2B" w14:textId="77777777" w:rsidR="008619E5" w:rsidRDefault="00000000">
            <w:r>
              <w:rPr>
                <w:b/>
                <w:bCs/>
                <w:sz w:val="17"/>
                <w:szCs w:val="17"/>
              </w:rPr>
              <w:t>R-017*</w:t>
            </w:r>
          </w:p>
        </w:tc>
        <w:tc>
          <w:tcPr>
            <w:tcW w:w="3500" w:type="dxa"/>
            <w:tcMar>
              <w:top w:w="50" w:type="dxa"/>
              <w:left w:w="90" w:type="dxa"/>
              <w:bottom w:w="50" w:type="dxa"/>
              <w:right w:w="90" w:type="dxa"/>
            </w:tcMar>
            <w:vAlign w:val="center"/>
          </w:tcPr>
          <w:p w14:paraId="116CD854" w14:textId="77777777" w:rsidR="008619E5" w:rsidRDefault="00000000">
            <w:r>
              <w:rPr>
                <w:sz w:val="17"/>
                <w:szCs w:val="17"/>
              </w:rPr>
              <w:t>Cybersecurity breach or ransomware exposure during system integration</w:t>
            </w:r>
          </w:p>
        </w:tc>
        <w:tc>
          <w:tcPr>
            <w:tcW w:w="1080" w:type="dxa"/>
            <w:tcMar>
              <w:top w:w="50" w:type="dxa"/>
              <w:left w:w="90" w:type="dxa"/>
              <w:bottom w:w="50" w:type="dxa"/>
              <w:right w:w="90" w:type="dxa"/>
            </w:tcMar>
            <w:vAlign w:val="center"/>
          </w:tcPr>
          <w:p w14:paraId="17B3C5AA" w14:textId="77777777" w:rsidR="008619E5" w:rsidRDefault="00000000">
            <w:r>
              <w:rPr>
                <w:sz w:val="17"/>
                <w:szCs w:val="17"/>
              </w:rPr>
              <w:t>Technology</w:t>
            </w:r>
          </w:p>
        </w:tc>
        <w:tc>
          <w:tcPr>
            <w:tcW w:w="540" w:type="dxa"/>
            <w:tcMar>
              <w:top w:w="50" w:type="dxa"/>
              <w:left w:w="90" w:type="dxa"/>
              <w:bottom w:w="50" w:type="dxa"/>
              <w:right w:w="90" w:type="dxa"/>
            </w:tcMar>
            <w:vAlign w:val="center"/>
          </w:tcPr>
          <w:p w14:paraId="66B2D89B" w14:textId="77777777" w:rsidR="008619E5" w:rsidRDefault="00000000">
            <w:pPr>
              <w:jc w:val="center"/>
            </w:pPr>
            <w:r>
              <w:rPr>
                <w:sz w:val="17"/>
                <w:szCs w:val="17"/>
              </w:rPr>
              <w:t>6</w:t>
            </w:r>
          </w:p>
        </w:tc>
        <w:tc>
          <w:tcPr>
            <w:tcW w:w="540" w:type="dxa"/>
            <w:tcMar>
              <w:top w:w="50" w:type="dxa"/>
              <w:left w:w="90" w:type="dxa"/>
              <w:bottom w:w="50" w:type="dxa"/>
              <w:right w:w="90" w:type="dxa"/>
            </w:tcMar>
            <w:vAlign w:val="center"/>
          </w:tcPr>
          <w:p w14:paraId="762CA7F1" w14:textId="77777777" w:rsidR="008619E5" w:rsidRDefault="00000000">
            <w:pPr>
              <w:jc w:val="center"/>
            </w:pPr>
            <w:r>
              <w:rPr>
                <w:sz w:val="17"/>
                <w:szCs w:val="17"/>
              </w:rPr>
              <w:t>9</w:t>
            </w:r>
          </w:p>
        </w:tc>
        <w:tc>
          <w:tcPr>
            <w:tcW w:w="740" w:type="dxa"/>
            <w:tcMar>
              <w:top w:w="50" w:type="dxa"/>
              <w:left w:w="90" w:type="dxa"/>
              <w:bottom w:w="50" w:type="dxa"/>
              <w:right w:w="90" w:type="dxa"/>
            </w:tcMar>
            <w:vAlign w:val="center"/>
          </w:tcPr>
          <w:p w14:paraId="2A33CF80" w14:textId="77777777" w:rsidR="008619E5" w:rsidRDefault="00000000">
            <w:pPr>
              <w:jc w:val="center"/>
            </w:pPr>
            <w:r>
              <w:rPr>
                <w:b/>
                <w:bCs/>
                <w:sz w:val="17"/>
                <w:szCs w:val="17"/>
              </w:rPr>
              <w:t>54</w:t>
            </w:r>
          </w:p>
        </w:tc>
        <w:tc>
          <w:tcPr>
            <w:tcW w:w="2140" w:type="dxa"/>
            <w:shd w:val="clear" w:color="auto" w:fill="FADBD8"/>
            <w:tcMar>
              <w:top w:w="50" w:type="dxa"/>
              <w:left w:w="90" w:type="dxa"/>
              <w:bottom w:w="50" w:type="dxa"/>
              <w:right w:w="90" w:type="dxa"/>
            </w:tcMar>
            <w:vAlign w:val="center"/>
          </w:tcPr>
          <w:p w14:paraId="20AC1A39" w14:textId="77777777" w:rsidR="008619E5" w:rsidRDefault="00000000">
            <w:pPr>
              <w:jc w:val="center"/>
            </w:pPr>
            <w:r>
              <w:rPr>
                <w:sz w:val="17"/>
                <w:szCs w:val="17"/>
              </w:rPr>
              <w:t>High</w:t>
            </w:r>
          </w:p>
        </w:tc>
      </w:tr>
      <w:tr w:rsidR="008619E5" w14:paraId="68F6ABC4" w14:textId="77777777">
        <w:tc>
          <w:tcPr>
            <w:tcW w:w="820" w:type="dxa"/>
            <w:tcMar>
              <w:top w:w="50" w:type="dxa"/>
              <w:left w:w="90" w:type="dxa"/>
              <w:bottom w:w="50" w:type="dxa"/>
              <w:right w:w="90" w:type="dxa"/>
            </w:tcMar>
            <w:vAlign w:val="center"/>
          </w:tcPr>
          <w:p w14:paraId="38348B83" w14:textId="77777777" w:rsidR="008619E5" w:rsidRDefault="00000000">
            <w:r>
              <w:rPr>
                <w:b/>
                <w:bCs/>
                <w:sz w:val="17"/>
                <w:szCs w:val="17"/>
              </w:rPr>
              <w:t>R-018*</w:t>
            </w:r>
          </w:p>
        </w:tc>
        <w:tc>
          <w:tcPr>
            <w:tcW w:w="3500" w:type="dxa"/>
            <w:tcMar>
              <w:top w:w="50" w:type="dxa"/>
              <w:left w:w="90" w:type="dxa"/>
              <w:bottom w:w="50" w:type="dxa"/>
              <w:right w:w="90" w:type="dxa"/>
            </w:tcMar>
            <w:vAlign w:val="center"/>
          </w:tcPr>
          <w:p w14:paraId="52D8E2AD" w14:textId="77777777" w:rsidR="008619E5" w:rsidRDefault="00000000">
            <w:r>
              <w:rPr>
                <w:sz w:val="17"/>
                <w:szCs w:val="17"/>
              </w:rPr>
              <w:t>ESG and reputational risk from post-acquisition workforce reduction</w:t>
            </w:r>
          </w:p>
        </w:tc>
        <w:tc>
          <w:tcPr>
            <w:tcW w:w="1080" w:type="dxa"/>
            <w:tcMar>
              <w:top w:w="50" w:type="dxa"/>
              <w:left w:w="90" w:type="dxa"/>
              <w:bottom w:w="50" w:type="dxa"/>
              <w:right w:w="90" w:type="dxa"/>
            </w:tcMar>
            <w:vAlign w:val="center"/>
          </w:tcPr>
          <w:p w14:paraId="657CE8A1" w14:textId="77777777" w:rsidR="008619E5" w:rsidRDefault="00000000">
            <w:r>
              <w:rPr>
                <w:sz w:val="17"/>
                <w:szCs w:val="17"/>
              </w:rPr>
              <w:t>Strategic</w:t>
            </w:r>
          </w:p>
        </w:tc>
        <w:tc>
          <w:tcPr>
            <w:tcW w:w="540" w:type="dxa"/>
            <w:tcMar>
              <w:top w:w="50" w:type="dxa"/>
              <w:left w:w="90" w:type="dxa"/>
              <w:bottom w:w="50" w:type="dxa"/>
              <w:right w:w="90" w:type="dxa"/>
            </w:tcMar>
            <w:vAlign w:val="center"/>
          </w:tcPr>
          <w:p w14:paraId="03F543E8" w14:textId="77777777" w:rsidR="008619E5" w:rsidRDefault="00000000">
            <w:pPr>
              <w:jc w:val="center"/>
            </w:pPr>
            <w:r>
              <w:rPr>
                <w:sz w:val="17"/>
                <w:szCs w:val="17"/>
              </w:rPr>
              <w:t>5</w:t>
            </w:r>
          </w:p>
        </w:tc>
        <w:tc>
          <w:tcPr>
            <w:tcW w:w="540" w:type="dxa"/>
            <w:tcMar>
              <w:top w:w="50" w:type="dxa"/>
              <w:left w:w="90" w:type="dxa"/>
              <w:bottom w:w="50" w:type="dxa"/>
              <w:right w:w="90" w:type="dxa"/>
            </w:tcMar>
            <w:vAlign w:val="center"/>
          </w:tcPr>
          <w:p w14:paraId="733ABF78" w14:textId="77777777" w:rsidR="008619E5" w:rsidRDefault="00000000">
            <w:pPr>
              <w:jc w:val="center"/>
            </w:pPr>
            <w:r>
              <w:rPr>
                <w:sz w:val="17"/>
                <w:szCs w:val="17"/>
              </w:rPr>
              <w:t>6</w:t>
            </w:r>
          </w:p>
        </w:tc>
        <w:tc>
          <w:tcPr>
            <w:tcW w:w="740" w:type="dxa"/>
            <w:tcMar>
              <w:top w:w="50" w:type="dxa"/>
              <w:left w:w="90" w:type="dxa"/>
              <w:bottom w:w="50" w:type="dxa"/>
              <w:right w:w="90" w:type="dxa"/>
            </w:tcMar>
            <w:vAlign w:val="center"/>
          </w:tcPr>
          <w:p w14:paraId="2FD05488" w14:textId="77777777" w:rsidR="008619E5" w:rsidRDefault="00000000">
            <w:pPr>
              <w:jc w:val="center"/>
            </w:pPr>
            <w:r>
              <w:rPr>
                <w:b/>
                <w:bCs/>
                <w:sz w:val="17"/>
                <w:szCs w:val="17"/>
              </w:rPr>
              <w:t>30</w:t>
            </w:r>
          </w:p>
        </w:tc>
        <w:tc>
          <w:tcPr>
            <w:tcW w:w="2140" w:type="dxa"/>
            <w:shd w:val="clear" w:color="auto" w:fill="FDEBD0"/>
            <w:tcMar>
              <w:top w:w="50" w:type="dxa"/>
              <w:left w:w="90" w:type="dxa"/>
              <w:bottom w:w="50" w:type="dxa"/>
              <w:right w:w="90" w:type="dxa"/>
            </w:tcMar>
            <w:vAlign w:val="center"/>
          </w:tcPr>
          <w:p w14:paraId="6647BBA6" w14:textId="77777777" w:rsidR="008619E5" w:rsidRDefault="00000000">
            <w:pPr>
              <w:jc w:val="center"/>
            </w:pPr>
            <w:r>
              <w:rPr>
                <w:sz w:val="17"/>
                <w:szCs w:val="17"/>
              </w:rPr>
              <w:t>Medium</w:t>
            </w:r>
          </w:p>
        </w:tc>
      </w:tr>
      <w:tr w:rsidR="008619E5" w14:paraId="2D72C79F" w14:textId="77777777">
        <w:tc>
          <w:tcPr>
            <w:tcW w:w="820" w:type="dxa"/>
            <w:tcMar>
              <w:top w:w="50" w:type="dxa"/>
              <w:left w:w="90" w:type="dxa"/>
              <w:bottom w:w="50" w:type="dxa"/>
              <w:right w:w="90" w:type="dxa"/>
            </w:tcMar>
            <w:vAlign w:val="center"/>
          </w:tcPr>
          <w:p w14:paraId="5A285D96" w14:textId="77777777" w:rsidR="008619E5" w:rsidRDefault="00000000">
            <w:r>
              <w:rPr>
                <w:b/>
                <w:bCs/>
                <w:sz w:val="17"/>
                <w:szCs w:val="17"/>
              </w:rPr>
              <w:t>R-019*</w:t>
            </w:r>
          </w:p>
        </w:tc>
        <w:tc>
          <w:tcPr>
            <w:tcW w:w="3500" w:type="dxa"/>
            <w:tcMar>
              <w:top w:w="50" w:type="dxa"/>
              <w:left w:w="90" w:type="dxa"/>
              <w:bottom w:w="50" w:type="dxa"/>
              <w:right w:w="90" w:type="dxa"/>
            </w:tcMar>
            <w:vAlign w:val="center"/>
          </w:tcPr>
          <w:p w14:paraId="599B2619" w14:textId="77777777" w:rsidR="008619E5" w:rsidRDefault="00000000">
            <w:r>
              <w:rPr>
                <w:sz w:val="17"/>
                <w:szCs w:val="17"/>
              </w:rPr>
              <w:t>Payer and GPO concentration risk affecting ADC reimbursement</w:t>
            </w:r>
          </w:p>
        </w:tc>
        <w:tc>
          <w:tcPr>
            <w:tcW w:w="1080" w:type="dxa"/>
            <w:tcMar>
              <w:top w:w="50" w:type="dxa"/>
              <w:left w:w="90" w:type="dxa"/>
              <w:bottom w:w="50" w:type="dxa"/>
              <w:right w:w="90" w:type="dxa"/>
            </w:tcMar>
            <w:vAlign w:val="center"/>
          </w:tcPr>
          <w:p w14:paraId="3011686C" w14:textId="77777777" w:rsidR="008619E5" w:rsidRDefault="00000000">
            <w:r>
              <w:rPr>
                <w:sz w:val="17"/>
                <w:szCs w:val="17"/>
              </w:rPr>
              <w:t>Financial</w:t>
            </w:r>
          </w:p>
        </w:tc>
        <w:tc>
          <w:tcPr>
            <w:tcW w:w="540" w:type="dxa"/>
            <w:tcMar>
              <w:top w:w="50" w:type="dxa"/>
              <w:left w:w="90" w:type="dxa"/>
              <w:bottom w:w="50" w:type="dxa"/>
              <w:right w:w="90" w:type="dxa"/>
            </w:tcMar>
            <w:vAlign w:val="center"/>
          </w:tcPr>
          <w:p w14:paraId="26DFBAD2" w14:textId="77777777" w:rsidR="008619E5" w:rsidRDefault="00000000">
            <w:pPr>
              <w:jc w:val="center"/>
            </w:pPr>
            <w:r>
              <w:rPr>
                <w:sz w:val="17"/>
                <w:szCs w:val="17"/>
              </w:rPr>
              <w:t>5</w:t>
            </w:r>
          </w:p>
        </w:tc>
        <w:tc>
          <w:tcPr>
            <w:tcW w:w="540" w:type="dxa"/>
            <w:tcMar>
              <w:top w:w="50" w:type="dxa"/>
              <w:left w:w="90" w:type="dxa"/>
              <w:bottom w:w="50" w:type="dxa"/>
              <w:right w:w="90" w:type="dxa"/>
            </w:tcMar>
            <w:vAlign w:val="center"/>
          </w:tcPr>
          <w:p w14:paraId="700EDDFB" w14:textId="77777777" w:rsidR="008619E5" w:rsidRDefault="00000000">
            <w:pPr>
              <w:jc w:val="center"/>
            </w:pPr>
            <w:r>
              <w:rPr>
                <w:sz w:val="17"/>
                <w:szCs w:val="17"/>
              </w:rPr>
              <w:t>7</w:t>
            </w:r>
          </w:p>
        </w:tc>
        <w:tc>
          <w:tcPr>
            <w:tcW w:w="740" w:type="dxa"/>
            <w:tcMar>
              <w:top w:w="50" w:type="dxa"/>
              <w:left w:w="90" w:type="dxa"/>
              <w:bottom w:w="50" w:type="dxa"/>
              <w:right w:w="90" w:type="dxa"/>
            </w:tcMar>
            <w:vAlign w:val="center"/>
          </w:tcPr>
          <w:p w14:paraId="0566E245" w14:textId="77777777" w:rsidR="008619E5" w:rsidRDefault="00000000">
            <w:pPr>
              <w:jc w:val="center"/>
            </w:pPr>
            <w:r>
              <w:rPr>
                <w:b/>
                <w:bCs/>
                <w:sz w:val="17"/>
                <w:szCs w:val="17"/>
              </w:rPr>
              <w:t>35</w:t>
            </w:r>
          </w:p>
        </w:tc>
        <w:tc>
          <w:tcPr>
            <w:tcW w:w="2140" w:type="dxa"/>
            <w:shd w:val="clear" w:color="auto" w:fill="FDEBD0"/>
            <w:tcMar>
              <w:top w:w="50" w:type="dxa"/>
              <w:left w:w="90" w:type="dxa"/>
              <w:bottom w:w="50" w:type="dxa"/>
              <w:right w:w="90" w:type="dxa"/>
            </w:tcMar>
            <w:vAlign w:val="center"/>
          </w:tcPr>
          <w:p w14:paraId="57031CC0" w14:textId="77777777" w:rsidR="008619E5" w:rsidRDefault="00000000">
            <w:pPr>
              <w:jc w:val="center"/>
            </w:pPr>
            <w:r>
              <w:rPr>
                <w:sz w:val="17"/>
                <w:szCs w:val="17"/>
              </w:rPr>
              <w:t>Medium</w:t>
            </w:r>
          </w:p>
        </w:tc>
      </w:tr>
      <w:tr w:rsidR="008619E5" w14:paraId="5290ECF1" w14:textId="77777777">
        <w:tc>
          <w:tcPr>
            <w:tcW w:w="820" w:type="dxa"/>
            <w:tcMar>
              <w:top w:w="50" w:type="dxa"/>
              <w:left w:w="90" w:type="dxa"/>
              <w:bottom w:w="50" w:type="dxa"/>
              <w:right w:w="90" w:type="dxa"/>
            </w:tcMar>
            <w:vAlign w:val="center"/>
          </w:tcPr>
          <w:p w14:paraId="2760D862" w14:textId="77777777" w:rsidR="008619E5" w:rsidRDefault="00000000">
            <w:r>
              <w:rPr>
                <w:b/>
                <w:bCs/>
                <w:sz w:val="17"/>
                <w:szCs w:val="17"/>
              </w:rPr>
              <w:t>R-020*</w:t>
            </w:r>
          </w:p>
        </w:tc>
        <w:tc>
          <w:tcPr>
            <w:tcW w:w="3500" w:type="dxa"/>
            <w:tcMar>
              <w:top w:w="50" w:type="dxa"/>
              <w:left w:w="90" w:type="dxa"/>
              <w:bottom w:w="50" w:type="dxa"/>
              <w:right w:w="90" w:type="dxa"/>
            </w:tcMar>
            <w:vAlign w:val="center"/>
          </w:tcPr>
          <w:p w14:paraId="4959F53A" w14:textId="77777777" w:rsidR="008619E5" w:rsidRDefault="00000000">
            <w:r>
              <w:rPr>
                <w:sz w:val="17"/>
                <w:szCs w:val="17"/>
              </w:rPr>
              <w:t>Foreign-exchange exposure on ex-US ADC revenue and trial costs</w:t>
            </w:r>
          </w:p>
        </w:tc>
        <w:tc>
          <w:tcPr>
            <w:tcW w:w="1080" w:type="dxa"/>
            <w:tcMar>
              <w:top w:w="50" w:type="dxa"/>
              <w:left w:w="90" w:type="dxa"/>
              <w:bottom w:w="50" w:type="dxa"/>
              <w:right w:w="90" w:type="dxa"/>
            </w:tcMar>
            <w:vAlign w:val="center"/>
          </w:tcPr>
          <w:p w14:paraId="1B2192CE" w14:textId="77777777" w:rsidR="008619E5" w:rsidRDefault="00000000">
            <w:r>
              <w:rPr>
                <w:sz w:val="17"/>
                <w:szCs w:val="17"/>
              </w:rPr>
              <w:t>Financial</w:t>
            </w:r>
          </w:p>
        </w:tc>
        <w:tc>
          <w:tcPr>
            <w:tcW w:w="540" w:type="dxa"/>
            <w:tcMar>
              <w:top w:w="50" w:type="dxa"/>
              <w:left w:w="90" w:type="dxa"/>
              <w:bottom w:w="50" w:type="dxa"/>
              <w:right w:w="90" w:type="dxa"/>
            </w:tcMar>
            <w:vAlign w:val="center"/>
          </w:tcPr>
          <w:p w14:paraId="7209AF6A" w14:textId="77777777" w:rsidR="008619E5" w:rsidRDefault="00000000">
            <w:pPr>
              <w:jc w:val="center"/>
            </w:pPr>
            <w:r>
              <w:rPr>
                <w:sz w:val="17"/>
                <w:szCs w:val="17"/>
              </w:rPr>
              <w:t>4</w:t>
            </w:r>
          </w:p>
        </w:tc>
        <w:tc>
          <w:tcPr>
            <w:tcW w:w="540" w:type="dxa"/>
            <w:tcMar>
              <w:top w:w="50" w:type="dxa"/>
              <w:left w:w="90" w:type="dxa"/>
              <w:bottom w:w="50" w:type="dxa"/>
              <w:right w:w="90" w:type="dxa"/>
            </w:tcMar>
            <w:vAlign w:val="center"/>
          </w:tcPr>
          <w:p w14:paraId="789B79C1" w14:textId="77777777" w:rsidR="008619E5" w:rsidRDefault="00000000">
            <w:pPr>
              <w:jc w:val="center"/>
            </w:pPr>
            <w:r>
              <w:rPr>
                <w:sz w:val="17"/>
                <w:szCs w:val="17"/>
              </w:rPr>
              <w:t>5</w:t>
            </w:r>
          </w:p>
        </w:tc>
        <w:tc>
          <w:tcPr>
            <w:tcW w:w="740" w:type="dxa"/>
            <w:tcMar>
              <w:top w:w="50" w:type="dxa"/>
              <w:left w:w="90" w:type="dxa"/>
              <w:bottom w:w="50" w:type="dxa"/>
              <w:right w:w="90" w:type="dxa"/>
            </w:tcMar>
            <w:vAlign w:val="center"/>
          </w:tcPr>
          <w:p w14:paraId="7F9AD1E0" w14:textId="77777777" w:rsidR="008619E5" w:rsidRDefault="00000000">
            <w:pPr>
              <w:jc w:val="center"/>
            </w:pPr>
            <w:r>
              <w:rPr>
                <w:b/>
                <w:bCs/>
                <w:sz w:val="17"/>
                <w:szCs w:val="17"/>
              </w:rPr>
              <w:t>20</w:t>
            </w:r>
          </w:p>
        </w:tc>
        <w:tc>
          <w:tcPr>
            <w:tcW w:w="2140" w:type="dxa"/>
            <w:shd w:val="clear" w:color="auto" w:fill="D5F5E3"/>
            <w:tcMar>
              <w:top w:w="50" w:type="dxa"/>
              <w:left w:w="90" w:type="dxa"/>
              <w:bottom w:w="50" w:type="dxa"/>
              <w:right w:w="90" w:type="dxa"/>
            </w:tcMar>
            <w:vAlign w:val="center"/>
          </w:tcPr>
          <w:p w14:paraId="71728CD0" w14:textId="77777777" w:rsidR="008619E5" w:rsidRDefault="00000000">
            <w:pPr>
              <w:jc w:val="center"/>
            </w:pPr>
            <w:r>
              <w:rPr>
                <w:sz w:val="17"/>
                <w:szCs w:val="17"/>
              </w:rPr>
              <w:t>Low</w:t>
            </w:r>
          </w:p>
        </w:tc>
      </w:tr>
    </w:tbl>
    <w:p w14:paraId="1CDEAA40" w14:textId="77777777" w:rsidR="008619E5" w:rsidRDefault="00000000">
      <w:pPr>
        <w:spacing w:before="60" w:after="200"/>
        <w:jc w:val="center"/>
      </w:pPr>
      <w:r>
        <w:rPr>
          <w:i/>
          <w:iCs/>
          <w:sz w:val="18"/>
          <w:szCs w:val="18"/>
        </w:rPr>
        <w:t>Table 1. Group 10 enterprise risk register (1–10 scale; Risk Score = L × I). Priority bands: Low (1–29), Medium (30–49), High (50–69), Critical (70–100). Asterisks denote risks added in this submission.</w:t>
      </w:r>
    </w:p>
    <w:p w14:paraId="253624C8" w14:textId="77777777" w:rsidR="008619E5" w:rsidRDefault="00000000">
      <w:pPr>
        <w:pStyle w:val="Heading2"/>
        <w:spacing w:after="100"/>
      </w:pPr>
      <w:r>
        <w:t>Newly Identified Risks and Their Justification</w:t>
      </w:r>
    </w:p>
    <w:p w14:paraId="0595CA5D" w14:textId="0C05C063" w:rsidR="0059624E" w:rsidRPr="0059624E" w:rsidRDefault="0059624E" w:rsidP="0059624E">
      <w:pPr>
        <w:pStyle w:val="Heading2"/>
        <w:spacing w:after="100"/>
        <w:rPr>
          <w:rFonts w:ascii="Times New Roman" w:hAnsi="Times New Roman" w:cs="Times New Roman"/>
          <w:b w:val="0"/>
          <w:bCs w:val="0"/>
          <w:color w:val="000000" w:themeColor="text1"/>
        </w:rPr>
      </w:pPr>
      <w:r w:rsidRPr="0059624E">
        <w:rPr>
          <w:rFonts w:ascii="Times New Roman" w:hAnsi="Times New Roman" w:cs="Times New Roman"/>
          <w:b w:val="0"/>
          <w:bCs w:val="0"/>
          <w:color w:val="000000" w:themeColor="text1"/>
        </w:rPr>
        <w:t xml:space="preserve">R-017 (Cybersecurity breach during system integration). Pharm mergers are a favorite target for both ransomware groups and nation-state actors for precisely the reason that the time between signing and full integration yields a network seam that previously didn’t exist. The exposure at Pfizer and </w:t>
      </w:r>
      <w:proofErr w:type="spellStart"/>
      <w:r w:rsidRPr="0059624E">
        <w:rPr>
          <w:rFonts w:ascii="Times New Roman" w:hAnsi="Times New Roman" w:cs="Times New Roman"/>
          <w:b w:val="0"/>
          <w:bCs w:val="0"/>
          <w:color w:val="000000" w:themeColor="text1"/>
        </w:rPr>
        <w:t>Seagen</w:t>
      </w:r>
      <w:proofErr w:type="spellEnd"/>
      <w:r w:rsidRPr="0059624E">
        <w:rPr>
          <w:rFonts w:ascii="Times New Roman" w:hAnsi="Times New Roman" w:cs="Times New Roman"/>
          <w:b w:val="0"/>
          <w:bCs w:val="0"/>
          <w:color w:val="000000" w:themeColor="text1"/>
        </w:rPr>
        <w:t xml:space="preserve"> isn't limited to operations; </w:t>
      </w:r>
      <w:proofErr w:type="spellStart"/>
      <w:r w:rsidRPr="0059624E">
        <w:rPr>
          <w:rFonts w:ascii="Times New Roman" w:hAnsi="Times New Roman" w:cs="Times New Roman"/>
          <w:b w:val="0"/>
          <w:bCs w:val="0"/>
          <w:color w:val="000000" w:themeColor="text1"/>
        </w:rPr>
        <w:t>Seagen's</w:t>
      </w:r>
      <w:proofErr w:type="spellEnd"/>
      <w:r w:rsidRPr="0059624E">
        <w:rPr>
          <w:rFonts w:ascii="Times New Roman" w:hAnsi="Times New Roman" w:cs="Times New Roman"/>
          <w:b w:val="0"/>
          <w:bCs w:val="0"/>
          <w:color w:val="000000" w:themeColor="text1"/>
        </w:rPr>
        <w:t xml:space="preserve"> proprietary linker-payload technology -- the innovation that drove the $43 billion valuation -- is the precise sort of IP that enemies pursue exfiltration against. Once a SWOT but not included in quantitative analysis, it’s now added at Likelihood 6, Impact 9 to capture the impact of compromised clinical data or IP, even while the quarterly likelihood is only moderate. </w:t>
      </w:r>
    </w:p>
    <w:p w14:paraId="5E810B54" w14:textId="77777777" w:rsidR="0059624E" w:rsidRPr="0059624E" w:rsidRDefault="0059624E" w:rsidP="0059624E">
      <w:pPr>
        <w:pStyle w:val="Heading2"/>
        <w:spacing w:after="100"/>
        <w:rPr>
          <w:rFonts w:ascii="Times New Roman" w:hAnsi="Times New Roman" w:cs="Times New Roman"/>
          <w:b w:val="0"/>
          <w:bCs w:val="0"/>
          <w:color w:val="000000" w:themeColor="text1"/>
        </w:rPr>
      </w:pPr>
      <w:r w:rsidRPr="0059624E">
        <w:rPr>
          <w:rFonts w:ascii="Times New Roman" w:hAnsi="Times New Roman" w:cs="Times New Roman"/>
          <w:b w:val="0"/>
          <w:bCs w:val="0"/>
          <w:color w:val="000000" w:themeColor="text1"/>
        </w:rPr>
        <w:t xml:space="preserve">R-018 (ESG and reputational risk from workforce reduction). Pfizer will be chasing its $1 billion in synergies through facility consolidation and staffing reductions. Such workforce cuts attract public and investor ire at any time but especially so coupled with stock repurchases and will erode standing among ESG investors and patient-advocacy groups. Scored at Likelihood 5, Impact 6. </w:t>
      </w:r>
    </w:p>
    <w:p w14:paraId="19903375" w14:textId="2F53F87D" w:rsidR="0059624E" w:rsidRPr="0059624E" w:rsidRDefault="0059624E" w:rsidP="0059624E">
      <w:pPr>
        <w:pStyle w:val="Heading2"/>
        <w:spacing w:after="100"/>
        <w:rPr>
          <w:rFonts w:ascii="Times New Roman" w:hAnsi="Times New Roman" w:cs="Times New Roman"/>
          <w:b w:val="0"/>
          <w:bCs w:val="0"/>
          <w:color w:val="000000" w:themeColor="text1"/>
        </w:rPr>
      </w:pPr>
      <w:r w:rsidRPr="0059624E">
        <w:rPr>
          <w:rFonts w:ascii="Times New Roman" w:hAnsi="Times New Roman" w:cs="Times New Roman"/>
          <w:b w:val="0"/>
          <w:bCs w:val="0"/>
          <w:color w:val="000000" w:themeColor="text1"/>
        </w:rPr>
        <w:t xml:space="preserve">R-019 (Payer and GPO concentration risk). Significant proportions of branded-oncology revenue in the US come via fewer than half dozen major health plan and hospital group purchasing organizations. If a leading payer restricts access or plays hardball on net pricing in the hospital or specialty-oncology channels that account for the majority of the </w:t>
      </w:r>
      <w:proofErr w:type="spellStart"/>
      <w:r w:rsidRPr="0059624E">
        <w:rPr>
          <w:rFonts w:ascii="Times New Roman" w:hAnsi="Times New Roman" w:cs="Times New Roman"/>
          <w:b w:val="0"/>
          <w:bCs w:val="0"/>
          <w:color w:val="000000" w:themeColor="text1"/>
        </w:rPr>
        <w:t>Seagen</w:t>
      </w:r>
      <w:proofErr w:type="spellEnd"/>
      <w:r w:rsidRPr="0059624E">
        <w:rPr>
          <w:rFonts w:ascii="Times New Roman" w:hAnsi="Times New Roman" w:cs="Times New Roman"/>
          <w:b w:val="0"/>
          <w:bCs w:val="0"/>
          <w:color w:val="000000" w:themeColor="text1"/>
        </w:rPr>
        <w:t xml:space="preserve"> product portfolio (a distinct risk from IRA in R-003) an incident could result in a substantial hit. Likelihood 5, Impact 7. </w:t>
      </w:r>
    </w:p>
    <w:p w14:paraId="1FC7B9EB" w14:textId="4C12D6AF" w:rsidR="0059624E" w:rsidRPr="0059624E" w:rsidRDefault="0059624E" w:rsidP="0059624E">
      <w:pPr>
        <w:pStyle w:val="Heading2"/>
        <w:spacing w:after="100"/>
        <w:rPr>
          <w:rFonts w:ascii="Times New Roman" w:hAnsi="Times New Roman" w:cs="Times New Roman"/>
          <w:b w:val="0"/>
          <w:bCs w:val="0"/>
          <w:color w:val="000000" w:themeColor="text1"/>
        </w:rPr>
      </w:pPr>
      <w:r w:rsidRPr="0059624E">
        <w:rPr>
          <w:rFonts w:ascii="Times New Roman" w:hAnsi="Times New Roman" w:cs="Times New Roman"/>
          <w:b w:val="0"/>
          <w:bCs w:val="0"/>
          <w:color w:val="000000" w:themeColor="text1"/>
        </w:rPr>
        <w:lastRenderedPageBreak/>
        <w:t xml:space="preserve">R-020 (Foreign-exchange exposure). With both </w:t>
      </w:r>
      <w:proofErr w:type="spellStart"/>
      <w:r w:rsidRPr="0059624E">
        <w:rPr>
          <w:rFonts w:ascii="Times New Roman" w:hAnsi="Times New Roman" w:cs="Times New Roman"/>
          <w:b w:val="0"/>
          <w:bCs w:val="0"/>
          <w:color w:val="000000" w:themeColor="text1"/>
        </w:rPr>
        <w:t>Seagen’s</w:t>
      </w:r>
      <w:proofErr w:type="spellEnd"/>
      <w:r w:rsidRPr="0059624E">
        <w:rPr>
          <w:rFonts w:ascii="Times New Roman" w:hAnsi="Times New Roman" w:cs="Times New Roman"/>
          <w:b w:val="0"/>
          <w:bCs w:val="0"/>
          <w:color w:val="000000" w:themeColor="text1"/>
        </w:rPr>
        <w:t xml:space="preserve"> international trial network and the balance of Pfizer’s commercial-ex US footprint - which will become an even larger venue for the launch of </w:t>
      </w:r>
      <w:proofErr w:type="spellStart"/>
      <w:r w:rsidRPr="0059624E">
        <w:rPr>
          <w:rFonts w:ascii="Times New Roman" w:hAnsi="Times New Roman" w:cs="Times New Roman"/>
          <w:b w:val="0"/>
          <w:bCs w:val="0"/>
          <w:color w:val="000000" w:themeColor="text1"/>
        </w:rPr>
        <w:t>Seagen</w:t>
      </w:r>
      <w:proofErr w:type="spellEnd"/>
      <w:r w:rsidRPr="0059624E">
        <w:rPr>
          <w:rFonts w:ascii="Times New Roman" w:hAnsi="Times New Roman" w:cs="Times New Roman"/>
          <w:b w:val="0"/>
          <w:bCs w:val="0"/>
          <w:color w:val="000000" w:themeColor="text1"/>
        </w:rPr>
        <w:t xml:space="preserve"> products going forward - expect both cost and revenue translations. While relatively small at Likelihood 4, Impact 5, it warrants inclusion on the list of risks in play.</w:t>
      </w:r>
    </w:p>
    <w:p w14:paraId="62185810" w14:textId="77777777" w:rsidR="008619E5" w:rsidRDefault="00000000">
      <w:pPr>
        <w:pStyle w:val="Heading1"/>
      </w:pPr>
      <w:r>
        <w:t>References</w:t>
      </w:r>
    </w:p>
    <w:p w14:paraId="5AF752D9" w14:textId="77777777" w:rsidR="008619E5" w:rsidRDefault="00000000">
      <w:pPr>
        <w:spacing w:after="100" w:line="252" w:lineRule="auto"/>
        <w:ind w:left="720" w:hanging="720"/>
      </w:pPr>
      <w:r>
        <w:t>Committee of Sponsoring Organizations of the Treadway Commission. (2017). Enterprise risk management: Integrating with strategy and performance. AICPA.</w:t>
      </w:r>
    </w:p>
    <w:p w14:paraId="5D324465" w14:textId="77777777" w:rsidR="008619E5" w:rsidRDefault="00000000">
      <w:pPr>
        <w:spacing w:after="100" w:line="252" w:lineRule="auto"/>
        <w:ind w:left="720" w:hanging="720"/>
      </w:pPr>
      <w:r>
        <w:t>Fleisher, C. S., &amp; Bensoussan, B. E. (2015). Business and competitive analysis: Effective application of new and classic methods (2nd ed.). Pearson Education.</w:t>
      </w:r>
    </w:p>
    <w:p w14:paraId="6C76B04E" w14:textId="77777777" w:rsidR="008619E5" w:rsidRDefault="00000000">
      <w:pPr>
        <w:spacing w:after="100" w:line="252" w:lineRule="auto"/>
        <w:ind w:left="720" w:hanging="720"/>
      </w:pPr>
      <w:r>
        <w:t xml:space="preserve">Khadem, M. M. R. K., Piya, S., &amp; </w:t>
      </w:r>
      <w:proofErr w:type="spellStart"/>
      <w:r>
        <w:t>Shamsuzzoha</w:t>
      </w:r>
      <w:proofErr w:type="spellEnd"/>
      <w:r>
        <w:t>, A. (2018). Quantitative risk management in gas injection project: A case study from Oman oil and gas industry. Journal of Industrial Engineering International, 14(3), 637–654. https://doi.org/10.1007/s40092-017-0237-3</w:t>
      </w:r>
    </w:p>
    <w:p w14:paraId="20568378" w14:textId="77777777" w:rsidR="008619E5" w:rsidRDefault="00000000">
      <w:pPr>
        <w:spacing w:after="100" w:line="252" w:lineRule="auto"/>
        <w:ind w:left="720" w:hanging="720"/>
      </w:pPr>
      <w:r>
        <w:t xml:space="preserve">Liu, A. (2023, December 14). Done deal: Pfizer completes $43B acquisition of </w:t>
      </w:r>
      <w:proofErr w:type="spellStart"/>
      <w:r>
        <w:t>Seagen</w:t>
      </w:r>
      <w:proofErr w:type="spellEnd"/>
      <w:r>
        <w:t>, doubling its oncology pipeline. Fierce Pharma. https://www.fiercepharma.com/pharma/done-deal-pfizer-completes-43b-acquisition-seagen-doubling-its-oncology-pipeline</w:t>
      </w:r>
    </w:p>
    <w:p w14:paraId="31FE520F" w14:textId="77777777" w:rsidR="008619E5" w:rsidRDefault="00000000">
      <w:pPr>
        <w:spacing w:after="100" w:line="252" w:lineRule="auto"/>
        <w:ind w:left="720" w:hanging="720"/>
      </w:pPr>
      <w:r>
        <w:t>Pfizer Inc. (2023a, March 13). Pfizer invests $43 billion to battle cancer [Press release]. https://www.pfizer.com/news/press-release/press-release-detail/pfizer-invests-43-billion-battle-cancer</w:t>
      </w:r>
    </w:p>
    <w:p w14:paraId="049EDD86" w14:textId="77777777" w:rsidR="008619E5" w:rsidRDefault="00000000">
      <w:pPr>
        <w:spacing w:after="100" w:line="252" w:lineRule="auto"/>
        <w:ind w:left="720" w:hanging="720"/>
      </w:pPr>
      <w:r>
        <w:t xml:space="preserve">Pfizer Inc. (2023b, December 14). Pfizer completes acquisition of </w:t>
      </w:r>
      <w:proofErr w:type="spellStart"/>
      <w:r>
        <w:t>Seagen</w:t>
      </w:r>
      <w:proofErr w:type="spellEnd"/>
      <w:r>
        <w:t xml:space="preserve"> [Press release]. https://www.pfizer.com/news/press-release/press-release-detail/pfizer-completes-acquisition-seagen</w:t>
      </w:r>
    </w:p>
    <w:sectPr w:rsidR="008619E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FA66D" w14:textId="77777777" w:rsidR="001D4443" w:rsidRDefault="001D4443">
      <w:r>
        <w:separator/>
      </w:r>
    </w:p>
  </w:endnote>
  <w:endnote w:type="continuationSeparator" w:id="0">
    <w:p w14:paraId="335DBFF1" w14:textId="77777777" w:rsidR="001D4443" w:rsidRDefault="001D44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8BF34" w14:textId="77777777" w:rsidR="008619E5" w:rsidRDefault="00000000">
    <w:pPr>
      <w:jc w:val="center"/>
    </w:pPr>
    <w:r>
      <w:rPr>
        <w:color w:val="888888"/>
        <w:sz w:val="16"/>
        <w:szCs w:val="16"/>
      </w:rPr>
      <w:t xml:space="preserve">Amaka Mary </w:t>
    </w:r>
    <w:proofErr w:type="gramStart"/>
    <w:r>
      <w:rPr>
        <w:color w:val="888888"/>
        <w:sz w:val="16"/>
        <w:szCs w:val="16"/>
      </w:rPr>
      <w:t>Nduka  |</w:t>
    </w:r>
    <w:proofErr w:type="gramEnd"/>
    <w:r>
      <w:rPr>
        <w:color w:val="888888"/>
        <w:sz w:val="16"/>
        <w:szCs w:val="16"/>
      </w:rPr>
      <w:t xml:space="preserve">  Group 10 Signature Assessment        Page </w:t>
    </w:r>
    <w:r>
      <w:rPr>
        <w:color w:val="888888"/>
        <w:sz w:val="16"/>
        <w:szCs w:val="16"/>
      </w:rPr>
      <w:fldChar w:fldCharType="begin"/>
    </w:r>
    <w:r>
      <w:rPr>
        <w:color w:val="888888"/>
        <w:sz w:val="16"/>
        <w:szCs w:val="16"/>
      </w:rPr>
      <w:instrText>PAGE</w:instrText>
    </w:r>
    <w:r>
      <w:rPr>
        <w:color w:val="888888"/>
        <w:sz w:val="16"/>
        <w:szCs w:val="16"/>
      </w:rPr>
      <w:fldChar w:fldCharType="separate"/>
    </w:r>
    <w:r w:rsidR="00A91F3A">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77F5" w14:textId="77777777" w:rsidR="001D4443" w:rsidRDefault="001D4443">
      <w:r>
        <w:separator/>
      </w:r>
    </w:p>
  </w:footnote>
  <w:footnote w:type="continuationSeparator" w:id="0">
    <w:p w14:paraId="32749729" w14:textId="77777777" w:rsidR="001D4443" w:rsidRDefault="001D44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153B"/>
    <w:multiLevelType w:val="hybridMultilevel"/>
    <w:tmpl w:val="629EA45E"/>
    <w:lvl w:ilvl="0" w:tplc="1AE08D46">
      <w:start w:val="1"/>
      <w:numFmt w:val="bullet"/>
      <w:lvlText w:val="●"/>
      <w:lvlJc w:val="left"/>
      <w:pPr>
        <w:ind w:left="720" w:hanging="360"/>
      </w:pPr>
    </w:lvl>
    <w:lvl w:ilvl="1" w:tplc="1B3E9588">
      <w:start w:val="1"/>
      <w:numFmt w:val="bullet"/>
      <w:lvlText w:val="○"/>
      <w:lvlJc w:val="left"/>
      <w:pPr>
        <w:ind w:left="1440" w:hanging="360"/>
      </w:pPr>
    </w:lvl>
    <w:lvl w:ilvl="2" w:tplc="F6F814A0">
      <w:start w:val="1"/>
      <w:numFmt w:val="bullet"/>
      <w:lvlText w:val="■"/>
      <w:lvlJc w:val="left"/>
      <w:pPr>
        <w:ind w:left="2160" w:hanging="360"/>
      </w:pPr>
    </w:lvl>
    <w:lvl w:ilvl="3" w:tplc="A12ED472">
      <w:start w:val="1"/>
      <w:numFmt w:val="bullet"/>
      <w:lvlText w:val="●"/>
      <w:lvlJc w:val="left"/>
      <w:pPr>
        <w:ind w:left="2880" w:hanging="360"/>
      </w:pPr>
    </w:lvl>
    <w:lvl w:ilvl="4" w:tplc="92649EEA">
      <w:start w:val="1"/>
      <w:numFmt w:val="bullet"/>
      <w:lvlText w:val="○"/>
      <w:lvlJc w:val="left"/>
      <w:pPr>
        <w:ind w:left="3600" w:hanging="360"/>
      </w:pPr>
    </w:lvl>
    <w:lvl w:ilvl="5" w:tplc="DD3E16F6">
      <w:start w:val="1"/>
      <w:numFmt w:val="bullet"/>
      <w:lvlText w:val="■"/>
      <w:lvlJc w:val="left"/>
      <w:pPr>
        <w:ind w:left="4320" w:hanging="360"/>
      </w:pPr>
    </w:lvl>
    <w:lvl w:ilvl="6" w:tplc="390C1516">
      <w:start w:val="1"/>
      <w:numFmt w:val="bullet"/>
      <w:lvlText w:val="●"/>
      <w:lvlJc w:val="left"/>
      <w:pPr>
        <w:ind w:left="5040" w:hanging="360"/>
      </w:pPr>
    </w:lvl>
    <w:lvl w:ilvl="7" w:tplc="523AF25A">
      <w:start w:val="1"/>
      <w:numFmt w:val="bullet"/>
      <w:lvlText w:val="●"/>
      <w:lvlJc w:val="left"/>
      <w:pPr>
        <w:ind w:left="5760" w:hanging="360"/>
      </w:pPr>
    </w:lvl>
    <w:lvl w:ilvl="8" w:tplc="E6F6084E">
      <w:start w:val="1"/>
      <w:numFmt w:val="bullet"/>
      <w:lvlText w:val="●"/>
      <w:lvlJc w:val="left"/>
      <w:pPr>
        <w:ind w:left="6480" w:hanging="360"/>
      </w:pPr>
    </w:lvl>
  </w:abstractNum>
  <w:num w:numId="1" w16cid:durableId="175285364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9E5"/>
    <w:rsid w:val="001D4443"/>
    <w:rsid w:val="003A0618"/>
    <w:rsid w:val="0059624E"/>
    <w:rsid w:val="008619E5"/>
    <w:rsid w:val="00A91F3A"/>
    <w:rsid w:val="00BF1E5C"/>
    <w:rsid w:val="00C01AC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26C73"/>
  <w15:docId w15:val="{59D66B77-FC03-284B-BBE5-8C907086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1F3864"/>
      </w:pBdr>
      <w:spacing w:before="240" w:after="120"/>
      <w:outlineLvl w:val="0"/>
    </w:pPr>
    <w:rPr>
      <w:b/>
      <w:bCs/>
      <w:color w:val="1F3864"/>
      <w:sz w:val="30"/>
      <w:szCs w:val="30"/>
    </w:rPr>
  </w:style>
  <w:style w:type="paragraph" w:styleId="Heading2">
    <w:name w:val="heading 2"/>
    <w:uiPriority w:val="9"/>
    <w:unhideWhenUsed/>
    <w:qFormat/>
    <w:pPr>
      <w:spacing w:before="180" w:after="80"/>
      <w:outlineLvl w:val="1"/>
    </w:pPr>
    <w:rPr>
      <w:b/>
      <w:bCs/>
      <w:color w:val="2E5A8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1708</Words>
  <Characters>9739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Amaka Mary Nduka — Individual Contribution (Pfizer–Seagen ERM)</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Amaka Mary Nduka — Individual Contribution (Pfizer–Seagen ERM)</dc:title>
  <dc:creator>Group 10</dc:creator>
  <cp:lastModifiedBy>Amaka Mary Nduka</cp:lastModifiedBy>
  <cp:revision>3</cp:revision>
  <dcterms:created xsi:type="dcterms:W3CDTF">2026-06-23T03:35:00Z</dcterms:created>
  <dcterms:modified xsi:type="dcterms:W3CDTF">2026-06-24T03:16:00Z</dcterms:modified>
</cp:coreProperties>
</file>