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FEF1" w14:textId="77EEABA9" w:rsidR="004E0225" w:rsidRPr="00BC4366" w:rsidRDefault="004E0225">
      <w:pPr>
        <w:rPr>
          <w:rFonts w:ascii="Georgia" w:hAnsi="Georgia"/>
          <w:b/>
          <w:color w:val="C00000"/>
          <w:sz w:val="32"/>
          <w:szCs w:val="32"/>
        </w:rPr>
      </w:pPr>
      <w:r w:rsidRPr="00BC4366">
        <w:rPr>
          <w:rFonts w:ascii="Georgia" w:hAnsi="Georgia"/>
          <w:b/>
          <w:color w:val="C00000"/>
          <w:sz w:val="32"/>
          <w:szCs w:val="32"/>
        </w:rPr>
        <w:t>SWOT Analysis</w:t>
      </w:r>
    </w:p>
    <w:p w14:paraId="75CC3D21" w14:textId="77777777" w:rsidR="00C0460D" w:rsidRPr="00BC4366" w:rsidRDefault="00C0460D" w:rsidP="00C0460D">
      <w:pPr>
        <w:spacing w:after="80"/>
        <w:rPr>
          <w:rFonts w:ascii="Georgia" w:eastAsia="Arial" w:hAnsi="Georgia" w:cs="Arial"/>
          <w:lang w:val="en-PH"/>
        </w:rPr>
      </w:pPr>
      <w:r w:rsidRPr="00BC4366">
        <w:rPr>
          <w:rFonts w:ascii="Georgia" w:hAnsi="Georgia"/>
          <w:b/>
          <w:color w:val="C00000"/>
          <w:sz w:val="32"/>
          <w:szCs w:val="32"/>
        </w:rPr>
        <w:t xml:space="preserve">Industry: </w:t>
      </w:r>
      <w:r w:rsidRPr="00BC4366">
        <w:rPr>
          <w:rFonts w:ascii="Georgia" w:eastAsia="Arial" w:hAnsi="Georgia" w:cs="Arial"/>
          <w:b/>
          <w:bCs/>
          <w:color w:val="2E5395"/>
          <w:sz w:val="28"/>
          <w:szCs w:val="28"/>
          <w:lang w:val="en-PH"/>
        </w:rPr>
        <w:t>Pfizer Inc. (NYSE: PFE) — Acquisition of Seagen Inc.</w:t>
      </w:r>
    </w:p>
    <w:p w14:paraId="1A3C73A6" w14:textId="4843A383" w:rsidR="00C0460D" w:rsidRPr="00BC4366" w:rsidRDefault="00C0460D" w:rsidP="002A4845">
      <w:pPr>
        <w:spacing w:after="0" w:line="480" w:lineRule="auto"/>
        <w:rPr>
          <w:rFonts w:ascii="Georgia" w:eastAsia="Arial" w:hAnsi="Georgia" w:cs="Arial"/>
          <w:lang w:val="en-PH"/>
        </w:rPr>
      </w:pPr>
      <w:r w:rsidRPr="00C0460D">
        <w:rPr>
          <w:rFonts w:ascii="Georgia" w:eastAsia="Arial" w:hAnsi="Georgia" w:cs="Arial"/>
          <w:i/>
          <w:iCs/>
          <w:color w:val="595959"/>
          <w:lang w:val="en-PH"/>
        </w:rPr>
        <w:t>Industry: Health (Pharmaceuticals &amp; Oncology)</w:t>
      </w:r>
    </w:p>
    <w:p w14:paraId="5A939B11" w14:textId="7B36579E" w:rsidR="00C0460D" w:rsidRPr="00720BB2" w:rsidRDefault="00C0460D" w:rsidP="002A4845">
      <w:pPr>
        <w:spacing w:line="480" w:lineRule="auto"/>
        <w:rPr>
          <w:rFonts w:ascii="Georgia" w:hAnsi="Georgia" w:cs="Calibri"/>
          <w:i/>
          <w:iCs/>
        </w:rPr>
      </w:pPr>
      <w:r w:rsidRPr="00720BB2">
        <w:rPr>
          <w:rFonts w:ascii="Georgia" w:hAnsi="Georgia" w:cs="Calibri"/>
          <w:i/>
          <w:iCs/>
        </w:rPr>
        <w:t>Group 10 - Team Members</w:t>
      </w:r>
      <w:r w:rsidR="00720BB2">
        <w:rPr>
          <w:rFonts w:ascii="Georgia" w:hAnsi="Georgia" w:cs="Calibri"/>
          <w:i/>
          <w:iCs/>
        </w:rPr>
        <w:t>: Amaka Mary Nduka, Dike Liu, Princess Mariama Ramboyong, Stella Kafui Sabuki</w:t>
      </w:r>
    </w:p>
    <w:p w14:paraId="11789951" w14:textId="7EBDBCC8" w:rsidR="00C0460D"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Overview</w:t>
      </w:r>
    </w:p>
    <w:p w14:paraId="50004B87" w14:textId="3B1F0DED"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1E0B9480" w14:textId="79D84BB1" w:rsidR="00C0460D" w:rsidRPr="00BC4366" w:rsidRDefault="00C0460D" w:rsidP="00C0460D">
      <w:pPr>
        <w:ind w:left="360"/>
        <w:rPr>
          <w:rFonts w:ascii="Georgia" w:hAnsi="Georgia"/>
        </w:rPr>
      </w:pPr>
      <w:r w:rsidRPr="00BC4366">
        <w:rPr>
          <w:rFonts w:ascii="Georgia" w:hAnsi="Georgia"/>
        </w:rPr>
        <w:t>Pfizer Inc. closed its $43 billion acquisition of Seagen Inc. in December 2023, the biggest biopharmaceutical deal since AbbVie Inc.’s purchase of Allergan PLC in 2019. The deal doubled Pfizer's oncology drug portfolio to 60 projects a</w:t>
      </w:r>
      <w:r w:rsidR="00BC4366" w:rsidRPr="00BC4366">
        <w:rPr>
          <w:rFonts w:ascii="Georgia" w:hAnsi="Georgia"/>
        </w:rPr>
        <w:t>nd added</w:t>
      </w:r>
      <w:r w:rsidRPr="00BC4366">
        <w:rPr>
          <w:rFonts w:ascii="Georgia" w:hAnsi="Georgia"/>
        </w:rPr>
        <w:t xml:space="preserve"> four </w:t>
      </w:r>
      <w:r w:rsidR="00BC4366" w:rsidRPr="00BC4366">
        <w:rPr>
          <w:rFonts w:ascii="Georgia" w:hAnsi="Georgia"/>
        </w:rPr>
        <w:t xml:space="preserve">more </w:t>
      </w:r>
      <w:r w:rsidRPr="00BC4366">
        <w:rPr>
          <w:rFonts w:ascii="Georgia" w:hAnsi="Georgia"/>
        </w:rPr>
        <w:t xml:space="preserve">marketed drugs for antibodies-drug conjugates and targeted oncology </w:t>
      </w:r>
      <w:r w:rsidR="00F30EBD" w:rsidRPr="00BC4366">
        <w:rPr>
          <w:rFonts w:ascii="Georgia" w:hAnsi="Georgia"/>
        </w:rPr>
        <w:t>medicines</w:t>
      </w:r>
      <w:r w:rsidRPr="00BC4366">
        <w:rPr>
          <w:rFonts w:ascii="Georgia" w:hAnsi="Georgia"/>
        </w:rPr>
        <w:t xml:space="preserve"> such as ADCETRIS, PADCEV, TIVDAK, and TUKYSA. Pfizer estimates that the Seagen deal will contribute upwards of $10 billion of risk-adjusted revenue for the company by 2030, with cost synergies reaching approximately $1 billion annually by 2026.</w:t>
      </w:r>
    </w:p>
    <w:p w14:paraId="41A2FC1E" w14:textId="30A7EA75" w:rsidR="00BC4366" w:rsidRDefault="00F17FDD" w:rsidP="00BC4366">
      <w:pPr>
        <w:ind w:left="360"/>
        <w:rPr>
          <w:rFonts w:ascii="Georgia" w:hAnsi="Georgia"/>
        </w:rPr>
      </w:pPr>
      <w:r w:rsidRPr="00F17FDD">
        <w:rPr>
          <w:rFonts w:ascii="Georgia" w:hAnsi="Georgia"/>
        </w:rPr>
        <w:t>This document provides a S.W.O.T. analysis for the acquisition using the Enterprise Risk Management (ERM) approach. The analysis is based on the "Better SWOT" approach outlined in Chapter 6 of Fleisher and Bensoussan (2015). In this approach, SWOT is seen not as some casual brain exercise, but rather as an evidence-based tool that should serve the purposes of situational analysis. It is in keeping with the requirements for an effective risk analysis formulated by the authors of the textbook, such as future orientation, accuracy, resource efficiency, objectivity, usefulness, and timeliness. The risk factors relating to people, processes, technology, and any other aspects of business will be identified by our team before being translated into KRIs and control measures. The special attention will be paid to technical and information security risks due to their importance under the circumstances.</w:t>
      </w:r>
    </w:p>
    <w:p w14:paraId="34DA6252" w14:textId="77777777" w:rsidR="00F17FDD" w:rsidRPr="00BC4366" w:rsidRDefault="00F17FDD" w:rsidP="00BC4366">
      <w:pPr>
        <w:ind w:left="360"/>
        <w:rPr>
          <w:rFonts w:ascii="Georgia" w:hAnsi="Georgia"/>
        </w:rPr>
      </w:pPr>
    </w:p>
    <w:p w14:paraId="48B93D75" w14:textId="1B62077A" w:rsidR="00BC4366"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SWOT ANALYSIS Matrix</w:t>
      </w:r>
    </w:p>
    <w:p w14:paraId="206C1EFB" w14:textId="77777777" w:rsidR="009B7EC7" w:rsidRDefault="009B7EC7" w:rsidP="00BC4366">
      <w:pPr>
        <w:ind w:left="360"/>
        <w:rPr>
          <w:rFonts w:ascii="Georgia" w:hAnsi="Georgia"/>
          <w:i/>
          <w:iCs/>
          <w:sz w:val="18"/>
          <w:szCs w:val="18"/>
        </w:rPr>
      </w:pPr>
    </w:p>
    <w:p w14:paraId="5019DC18" w14:textId="6EED48DD" w:rsidR="00BC4366" w:rsidRPr="00BC4366" w:rsidRDefault="009B7EC7" w:rsidP="00BC4366">
      <w:pPr>
        <w:ind w:left="360"/>
        <w:rPr>
          <w:rFonts w:ascii="Georgia" w:hAnsi="Georgia"/>
          <w:sz w:val="32"/>
          <w:szCs w:val="32"/>
        </w:rPr>
      </w:pPr>
      <w:r>
        <w:rPr>
          <w:rFonts w:ascii="Georgia" w:hAnsi="Georgia"/>
          <w:i/>
          <w:iCs/>
          <w:sz w:val="18"/>
          <w:szCs w:val="18"/>
        </w:rPr>
        <w:t>s</w:t>
      </w:r>
      <w:r w:rsidR="00BC4366" w:rsidRPr="00BC4366">
        <w:rPr>
          <w:rFonts w:ascii="Georgia" w:hAnsi="Georgia"/>
        </w:rPr>
        <w:t xml:space="preserve">The following matrix highlights three examples </w:t>
      </w:r>
      <w:r w:rsidR="00BC4366">
        <w:rPr>
          <w:rFonts w:ascii="Georgia" w:hAnsi="Georgia"/>
        </w:rPr>
        <w:t>for</w:t>
      </w:r>
      <w:r w:rsidR="00BC4366" w:rsidRPr="00BC4366">
        <w:rPr>
          <w:rFonts w:ascii="Georgia" w:hAnsi="Georgia"/>
        </w:rPr>
        <w:t xml:space="preserve"> each quadrant, with Strengths and Weaknesses being internal factors and Opportunities and Threats being external factors. In the Threats quadrant, it is important to mention the specific competition that Pfizer is facing in the ADCs arms race and also in the U.S. oncology market post-IRA, where Pfizer did not have much experience before.</w:t>
      </w:r>
    </w:p>
    <w:tbl>
      <w:tblPr>
        <w:tblStyle w:val="TableGrid"/>
        <w:tblW w:w="0" w:type="auto"/>
        <w:tblLook w:val="04A0" w:firstRow="1" w:lastRow="0" w:firstColumn="1" w:lastColumn="0" w:noHBand="0" w:noVBand="1"/>
      </w:tblPr>
      <w:tblGrid>
        <w:gridCol w:w="6475"/>
        <w:gridCol w:w="6475"/>
      </w:tblGrid>
      <w:tr w:rsidR="004E0225" w:rsidRPr="00BC4366" w14:paraId="531B8CE5" w14:textId="77777777" w:rsidTr="004E0225">
        <w:trPr>
          <w:trHeight w:val="3970"/>
        </w:trPr>
        <w:tc>
          <w:tcPr>
            <w:tcW w:w="6475" w:type="dxa"/>
          </w:tcPr>
          <w:p w14:paraId="750BC3D0" w14:textId="199CEDEC" w:rsidR="004E0225" w:rsidRDefault="004E0225">
            <w:pPr>
              <w:rPr>
                <w:rFonts w:ascii="Georgia" w:hAnsi="Georgia"/>
                <w:b/>
                <w:color w:val="C00000"/>
                <w:sz w:val="32"/>
                <w:szCs w:val="32"/>
              </w:rPr>
            </w:pPr>
            <w:r w:rsidRPr="00BC4366">
              <w:rPr>
                <w:rFonts w:ascii="Georgia" w:hAnsi="Georgia"/>
                <w:b/>
                <w:color w:val="C00000"/>
                <w:sz w:val="32"/>
                <w:szCs w:val="32"/>
              </w:rPr>
              <w:lastRenderedPageBreak/>
              <w:t>Strengths</w:t>
            </w:r>
          </w:p>
          <w:p w14:paraId="3460464F" w14:textId="152D09F7" w:rsidR="00D85B19" w:rsidRPr="00D85B19" w:rsidRDefault="00D85B19">
            <w:pPr>
              <w:rPr>
                <w:rFonts w:ascii="Georgia" w:hAnsi="Georgia"/>
                <w:bCs/>
                <w:i/>
                <w:iCs/>
                <w:color w:val="C00000"/>
                <w:sz w:val="18"/>
                <w:szCs w:val="18"/>
              </w:rPr>
            </w:pPr>
            <w:r w:rsidRPr="00D85B19">
              <w:rPr>
                <w:rFonts w:ascii="Georgia" w:hAnsi="Georgia"/>
                <w:bCs/>
                <w:i/>
                <w:iCs/>
                <w:color w:val="C00000"/>
                <w:sz w:val="18"/>
                <w:szCs w:val="18"/>
              </w:rPr>
              <w:t>Prepared by Princess</w:t>
            </w:r>
          </w:p>
          <w:p w14:paraId="00CA8D7D" w14:textId="75A2B0F3" w:rsidR="00BC4366" w:rsidRDefault="00BC4366">
            <w:pPr>
              <w:rPr>
                <w:rFonts w:ascii="Georgia" w:hAnsi="Georgia"/>
                <w:b/>
                <w:color w:val="C00000"/>
                <w:sz w:val="32"/>
                <w:szCs w:val="32"/>
              </w:rPr>
            </w:pPr>
          </w:p>
          <w:p w14:paraId="1D479425" w14:textId="3D83BEC1"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Capital strength:</w:t>
            </w:r>
            <w:r w:rsidRPr="00BC4366">
              <w:rPr>
                <w:rFonts w:ascii="Georgia" w:hAnsi="Georgia"/>
              </w:rPr>
              <w:t xml:space="preserve"> Pfizer is one of the largest pharmaceutical companies in the world. In 2023 alone, the company made revenues worth $58.5 billion and had significant financial resources </w:t>
            </w:r>
            <w:r>
              <w:rPr>
                <w:rFonts w:ascii="Georgia" w:hAnsi="Georgia"/>
              </w:rPr>
              <w:t xml:space="preserve">as a result of </w:t>
            </w:r>
            <w:r w:rsidRPr="00BC4366">
              <w:rPr>
                <w:rFonts w:ascii="Georgia" w:hAnsi="Georgia"/>
              </w:rPr>
              <w:t xml:space="preserve">the previous COVID era. </w:t>
            </w:r>
            <w:r>
              <w:rPr>
                <w:rFonts w:ascii="Georgia" w:hAnsi="Georgia"/>
              </w:rPr>
              <w:t>This strength greatly</w:t>
            </w:r>
            <w:r w:rsidRPr="00BC4366">
              <w:rPr>
                <w:rFonts w:ascii="Georgia" w:hAnsi="Georgia"/>
              </w:rPr>
              <w:t xml:space="preserve"> </w:t>
            </w:r>
            <w:r>
              <w:rPr>
                <w:rFonts w:ascii="Georgia" w:hAnsi="Georgia"/>
              </w:rPr>
              <w:t xml:space="preserve">helped the company to </w:t>
            </w:r>
            <w:r w:rsidRPr="00BC4366">
              <w:rPr>
                <w:rFonts w:ascii="Georgia" w:hAnsi="Georgia"/>
              </w:rPr>
              <w:t xml:space="preserve">pay $43 billion </w:t>
            </w:r>
            <w:r>
              <w:rPr>
                <w:rFonts w:ascii="Georgia" w:hAnsi="Georgia"/>
              </w:rPr>
              <w:t xml:space="preserve">in </w:t>
            </w:r>
            <w:r w:rsidRPr="00BC4366">
              <w:rPr>
                <w:rFonts w:ascii="Georgia" w:hAnsi="Georgia"/>
              </w:rPr>
              <w:t>acquiring Seagen.</w:t>
            </w:r>
          </w:p>
          <w:p w14:paraId="2E5AA682" w14:textId="77777777"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Good commercial infrastructure</w:t>
            </w:r>
            <w:r w:rsidRPr="00BC4366">
              <w:rPr>
                <w:rFonts w:ascii="Georgia" w:hAnsi="Georgia"/>
              </w:rPr>
              <w:t xml:space="preserve">: </w:t>
            </w:r>
            <w:r>
              <w:rPr>
                <w:rFonts w:ascii="Georgia" w:hAnsi="Georgia"/>
              </w:rPr>
              <w:t>In terms of</w:t>
            </w:r>
            <w:r w:rsidRPr="00BC4366">
              <w:rPr>
                <w:rFonts w:ascii="Georgia" w:hAnsi="Georgia"/>
              </w:rPr>
              <w:t xml:space="preserve"> the established sales force, relationships with regulatory authorities, and commercial presence in over 180 countries, Pfizer's global network will be able to expand Seagen's four approved ADC cancer drugs (ADCETRIS, PADCEV, TIVDAK, and TUKYSA) much faster than Seagen would have been able to by itself.</w:t>
            </w:r>
          </w:p>
          <w:p w14:paraId="2EC5A34C" w14:textId="5A1E56DA" w:rsidR="00BC4366" w:rsidRP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Strong ERM and compliance framework:</w:t>
            </w:r>
            <w:r w:rsidRPr="00BC4366">
              <w:rPr>
                <w:rFonts w:ascii="Georgia" w:hAnsi="Georgia"/>
              </w:rPr>
              <w:t xml:space="preserve"> </w:t>
            </w:r>
            <w:r w:rsidR="00B22A53">
              <w:rPr>
                <w:rFonts w:ascii="Georgia" w:hAnsi="Georgia"/>
              </w:rPr>
              <w:t>Through many</w:t>
            </w:r>
            <w:r w:rsidRPr="00BC4366">
              <w:rPr>
                <w:rFonts w:ascii="Georgia" w:hAnsi="Georgia"/>
              </w:rPr>
              <w:t xml:space="preserve"> decades of functioning within the FDA, EMA, and other global regulatory frameworks has built a solid foundation for pharmacovigilance practices, good manufacturing practices (GMP), and clinical trial management. This strong control environment mitigates compliance and quality risks associated with integrating Seagen's operations.</w:t>
            </w:r>
          </w:p>
          <w:p w14:paraId="08B1CC79" w14:textId="6ECACC47" w:rsidR="00BC4366" w:rsidRPr="00BC4366" w:rsidRDefault="00BC4366">
            <w:pPr>
              <w:rPr>
                <w:rFonts w:ascii="Georgia" w:hAnsi="Georgia"/>
                <w:b/>
                <w:sz w:val="32"/>
                <w:szCs w:val="32"/>
              </w:rPr>
            </w:pPr>
          </w:p>
        </w:tc>
        <w:tc>
          <w:tcPr>
            <w:tcW w:w="6475" w:type="dxa"/>
          </w:tcPr>
          <w:p w14:paraId="4DE6346F" w14:textId="77777777" w:rsidR="004E0225" w:rsidRDefault="004E0225">
            <w:pPr>
              <w:rPr>
                <w:rFonts w:ascii="Georgia" w:hAnsi="Georgia"/>
                <w:b/>
                <w:color w:val="C00000"/>
                <w:sz w:val="32"/>
                <w:szCs w:val="32"/>
              </w:rPr>
            </w:pPr>
            <w:r w:rsidRPr="00BC4366">
              <w:rPr>
                <w:rFonts w:ascii="Georgia" w:hAnsi="Georgia"/>
                <w:b/>
                <w:color w:val="C00000"/>
                <w:sz w:val="32"/>
                <w:szCs w:val="32"/>
              </w:rPr>
              <w:t>Weaknesses</w:t>
            </w:r>
          </w:p>
          <w:p w14:paraId="1376784B" w14:textId="2ED62618"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Dike</w:t>
            </w:r>
          </w:p>
          <w:p w14:paraId="03174937" w14:textId="77777777" w:rsidR="00A91E6B" w:rsidRDefault="00A91E6B" w:rsidP="009A0252">
            <w:pPr>
              <w:rPr>
                <w:rFonts w:ascii="Georgia" w:hAnsi="Georgia"/>
                <w:b/>
                <w:sz w:val="32"/>
                <w:szCs w:val="32"/>
              </w:rPr>
            </w:pPr>
          </w:p>
          <w:p w14:paraId="5FF6AE94" w14:textId="4C67FE22" w:rsidR="009A0252" w:rsidRDefault="009A0252" w:rsidP="009A0252">
            <w:pPr>
              <w:pStyle w:val="ListParagraph"/>
              <w:numPr>
                <w:ilvl w:val="0"/>
                <w:numId w:val="2"/>
              </w:numPr>
              <w:spacing w:after="160" w:line="259" w:lineRule="auto"/>
              <w:rPr>
                <w:rFonts w:ascii="Georgia" w:hAnsi="Georgia"/>
              </w:rPr>
            </w:pPr>
            <w:r>
              <w:rPr>
                <w:rFonts w:ascii="Georgia" w:hAnsi="Georgia" w:hint="eastAsia"/>
                <w:b/>
                <w:bCs/>
                <w:lang w:eastAsia="zh-CN"/>
              </w:rPr>
              <w:t xml:space="preserve">Reliance on M&amp;A </w:t>
            </w:r>
            <w:r w:rsidR="00CB326C">
              <w:rPr>
                <w:rFonts w:ascii="Georgia" w:hAnsi="Georgia" w:hint="eastAsia"/>
                <w:b/>
                <w:bCs/>
                <w:lang w:eastAsia="zh-CN"/>
              </w:rPr>
              <w:t>to rebuild the pipeline</w:t>
            </w:r>
            <w:r>
              <w:rPr>
                <w:rFonts w:ascii="Georgia" w:hAnsi="Georgia" w:hint="eastAsia"/>
                <w:b/>
                <w:bCs/>
                <w:lang w:eastAsia="zh-CN"/>
              </w:rPr>
              <w:t xml:space="preserve">: </w:t>
            </w:r>
            <w:r>
              <w:rPr>
                <w:rFonts w:ascii="Georgia" w:hAnsi="Georgia" w:hint="eastAsia"/>
                <w:lang w:eastAsia="zh-CN"/>
              </w:rPr>
              <w:t>Pfizer</w:t>
            </w:r>
            <w:r w:rsidRPr="009A0252">
              <w:rPr>
                <w:rFonts w:ascii="Georgia" w:hAnsi="Georgia" w:hint="eastAsia"/>
                <w:lang w:eastAsia="zh-CN"/>
              </w:rPr>
              <w:t xml:space="preserve"> </w:t>
            </w:r>
            <w:r w:rsidR="00CB326C">
              <w:rPr>
                <w:rFonts w:ascii="Georgia" w:hAnsi="Georgia" w:hint="eastAsia"/>
                <w:lang w:eastAsia="zh-CN"/>
              </w:rPr>
              <w:t>is at</w:t>
            </w:r>
            <w:r>
              <w:rPr>
                <w:rFonts w:ascii="Georgia" w:hAnsi="Georgia" w:hint="eastAsia"/>
                <w:lang w:eastAsia="zh-CN"/>
              </w:rPr>
              <w:t xml:space="preserve"> a risk of losing $17 billion in revenue</w:t>
            </w:r>
            <w:r w:rsidR="00CB326C">
              <w:rPr>
                <w:rFonts w:ascii="Georgia" w:hAnsi="Georgia" w:hint="eastAsia"/>
                <w:lang w:eastAsia="zh-CN"/>
              </w:rPr>
              <w:t>. It faces a major patent cliff through 2030. Its key drugs such as Eliquis, Ibran</w:t>
            </w:r>
            <w:r w:rsidR="0026472F">
              <w:rPr>
                <w:rFonts w:ascii="Georgia" w:hAnsi="Georgia"/>
                <w:lang w:eastAsia="zh-CN"/>
              </w:rPr>
              <w:t>c</w:t>
            </w:r>
            <w:r w:rsidR="00CB326C">
              <w:rPr>
                <w:rFonts w:ascii="Georgia" w:hAnsi="Georgia" w:hint="eastAsia"/>
                <w:lang w:eastAsia="zh-CN"/>
              </w:rPr>
              <w:t>e, and Xeljanz lose exclusivity. Pfizer is highly dependent on the success of integration with Seagen and Seagen</w:t>
            </w:r>
            <w:r w:rsidR="009F7DB0">
              <w:rPr>
                <w:rFonts w:ascii="Georgia" w:hAnsi="Georgia"/>
                <w:lang w:eastAsia="zh-CN"/>
              </w:rPr>
              <w:t xml:space="preserve">’s </w:t>
            </w:r>
            <w:r w:rsidR="00CB326C">
              <w:rPr>
                <w:rFonts w:ascii="Georgia" w:hAnsi="Georgia" w:hint="eastAsia"/>
                <w:lang w:eastAsia="zh-CN"/>
              </w:rPr>
              <w:t>future pipeline performance. If the integration falters or Seagen</w:t>
            </w:r>
            <w:r w:rsidR="00CB326C">
              <w:rPr>
                <w:rFonts w:ascii="Georgia" w:hAnsi="Georgia"/>
                <w:lang w:eastAsia="zh-CN"/>
              </w:rPr>
              <w:t>’</w:t>
            </w:r>
            <w:r w:rsidR="00CB326C">
              <w:rPr>
                <w:rFonts w:ascii="Georgia" w:hAnsi="Georgia" w:hint="eastAsia"/>
                <w:lang w:eastAsia="zh-CN"/>
              </w:rPr>
              <w:t>s pipeline fail</w:t>
            </w:r>
            <w:r w:rsidR="009F7DB0">
              <w:rPr>
                <w:rFonts w:ascii="Georgia" w:hAnsi="Georgia"/>
                <w:lang w:eastAsia="zh-CN"/>
              </w:rPr>
              <w:t>s</w:t>
            </w:r>
            <w:r w:rsidR="00CB326C">
              <w:rPr>
                <w:rFonts w:ascii="Georgia" w:hAnsi="Georgia" w:hint="eastAsia"/>
                <w:lang w:eastAsia="zh-CN"/>
              </w:rPr>
              <w:t xml:space="preserve">, Pfizer may have limited short-term organic alternatives. </w:t>
            </w:r>
          </w:p>
          <w:p w14:paraId="1ABC757F" w14:textId="41412903" w:rsidR="00D91FDE" w:rsidRDefault="00CB326C" w:rsidP="009A0252">
            <w:pPr>
              <w:pStyle w:val="ListParagraph"/>
              <w:numPr>
                <w:ilvl w:val="0"/>
                <w:numId w:val="2"/>
              </w:numPr>
              <w:spacing w:after="160" w:line="259" w:lineRule="auto"/>
              <w:rPr>
                <w:rFonts w:ascii="Georgia" w:hAnsi="Georgia"/>
              </w:rPr>
            </w:pPr>
            <w:r>
              <w:rPr>
                <w:rFonts w:ascii="Georgia" w:hAnsi="Georgia" w:hint="eastAsia"/>
                <w:b/>
                <w:bCs/>
                <w:lang w:eastAsia="zh-CN"/>
              </w:rPr>
              <w:t xml:space="preserve">Risks of cultural and operational integration: </w:t>
            </w:r>
            <w:r>
              <w:rPr>
                <w:rFonts w:ascii="Georgia" w:hAnsi="Georgia" w:hint="eastAsia"/>
                <w:lang w:eastAsia="zh-CN"/>
              </w:rPr>
              <w:t>Seagen is a smaller biotech company</w:t>
            </w:r>
            <w:r w:rsidR="0030618D">
              <w:rPr>
                <w:rFonts w:ascii="Georgia" w:hAnsi="Georgia" w:hint="eastAsia"/>
                <w:lang w:eastAsia="zh-CN"/>
              </w:rPr>
              <w:t xml:space="preserve">. It has only about </w:t>
            </w:r>
            <w:r>
              <w:rPr>
                <w:rFonts w:ascii="Georgia" w:hAnsi="Georgia" w:hint="eastAsia"/>
                <w:lang w:eastAsia="zh-CN"/>
              </w:rPr>
              <w:t xml:space="preserve">3,400 employees. It specializes in research on antibody-drug conjugates. Pfizer is a much larger global company. Its number of employees exceeding 80,000. Its management system is much more complex. These differences may cause problems in </w:t>
            </w:r>
            <w:r>
              <w:rPr>
                <w:rFonts w:ascii="Georgia" w:hAnsi="Georgia"/>
                <w:lang w:eastAsia="zh-CN"/>
              </w:rPr>
              <w:t>cultural</w:t>
            </w:r>
            <w:r>
              <w:rPr>
                <w:rFonts w:ascii="Georgia" w:hAnsi="Georgia" w:hint="eastAsia"/>
                <w:lang w:eastAsia="zh-CN"/>
              </w:rPr>
              <w:t xml:space="preserve"> and operational integration. The process of decision making may be slower. </w:t>
            </w:r>
            <w:r w:rsidR="00D91FDE">
              <w:rPr>
                <w:rFonts w:ascii="Georgia" w:hAnsi="Georgia" w:hint="eastAsia"/>
                <w:lang w:eastAsia="zh-CN"/>
              </w:rPr>
              <w:t>It may be harder to maintain Seagen</w:t>
            </w:r>
            <w:r w:rsidR="00D91FDE">
              <w:rPr>
                <w:rFonts w:ascii="Georgia" w:hAnsi="Georgia"/>
                <w:lang w:eastAsia="zh-CN"/>
              </w:rPr>
              <w:t>’</w:t>
            </w:r>
            <w:r w:rsidR="00D91FDE">
              <w:rPr>
                <w:rFonts w:ascii="Georgia" w:hAnsi="Georgia" w:hint="eastAsia"/>
                <w:lang w:eastAsia="zh-CN"/>
              </w:rPr>
              <w:t xml:space="preserve">s </w:t>
            </w:r>
            <w:r w:rsidR="00D91FDE">
              <w:rPr>
                <w:rFonts w:ascii="Georgia" w:hAnsi="Georgia"/>
                <w:lang w:eastAsia="zh-CN"/>
              </w:rPr>
              <w:t>entrepreneurial</w:t>
            </w:r>
            <w:r w:rsidR="00D91FDE">
              <w:rPr>
                <w:rFonts w:ascii="Georgia" w:hAnsi="Georgia" w:hint="eastAsia"/>
                <w:lang w:eastAsia="zh-CN"/>
              </w:rPr>
              <w:t xml:space="preserve"> culture. Seagen</w:t>
            </w:r>
            <w:r w:rsidR="00D91FDE">
              <w:rPr>
                <w:rFonts w:ascii="Georgia" w:hAnsi="Georgia"/>
                <w:lang w:eastAsia="zh-CN"/>
              </w:rPr>
              <w:t>’</w:t>
            </w:r>
            <w:r w:rsidR="00D91FDE">
              <w:rPr>
                <w:rFonts w:ascii="Georgia" w:hAnsi="Georgia" w:hint="eastAsia"/>
                <w:lang w:eastAsia="zh-CN"/>
              </w:rPr>
              <w:t xml:space="preserve">s specialized ADC scientists may leave. All these problems may reduce the value from acquiring Seagen. </w:t>
            </w:r>
          </w:p>
          <w:p w14:paraId="27FDEA8B" w14:textId="1575F3FB" w:rsidR="009A0252" w:rsidRPr="0030618D" w:rsidRDefault="00D91FDE" w:rsidP="0030618D">
            <w:pPr>
              <w:pStyle w:val="ListParagraph"/>
              <w:numPr>
                <w:ilvl w:val="0"/>
                <w:numId w:val="2"/>
              </w:numPr>
              <w:spacing w:after="160" w:line="259" w:lineRule="auto"/>
              <w:rPr>
                <w:rFonts w:ascii="Georgia" w:hAnsi="Georgia"/>
              </w:rPr>
            </w:pPr>
            <w:r>
              <w:rPr>
                <w:rFonts w:ascii="Georgia" w:hAnsi="Georgia" w:hint="eastAsia"/>
                <w:b/>
                <w:bCs/>
                <w:lang w:eastAsia="zh-CN"/>
              </w:rPr>
              <w:t xml:space="preserve">Post-COVID revenue pressure and cost-cutting risk: </w:t>
            </w:r>
            <w:r>
              <w:rPr>
                <w:rFonts w:ascii="Georgia" w:hAnsi="Georgia" w:hint="eastAsia"/>
                <w:lang w:eastAsia="zh-CN"/>
              </w:rPr>
              <w:t xml:space="preserve">Revenue of COVID-related products such as Comirnaty and Paxlovid declined sharply after COVID. The revenue pressure triggers major cost-cutting programs. However, cutting cost at a time when Pfizer is trying to manage the $43 billion Seagen acquisition creates execution risks. If teams do not have sufficient resources, </w:t>
            </w:r>
            <w:r>
              <w:rPr>
                <w:rFonts w:ascii="Georgia" w:hAnsi="Georgia"/>
                <w:lang w:eastAsia="zh-CN"/>
              </w:rPr>
              <w:t>Pfizer</w:t>
            </w:r>
            <w:r>
              <w:rPr>
                <w:rFonts w:ascii="Georgia" w:hAnsi="Georgia" w:hint="eastAsia"/>
                <w:lang w:eastAsia="zh-CN"/>
              </w:rPr>
              <w:t xml:space="preserve"> may miss its synergy target or fail to protect important clinical trial and patient data during system changes. </w:t>
            </w:r>
          </w:p>
        </w:tc>
      </w:tr>
      <w:tr w:rsidR="004E0225" w:rsidRPr="00BC4366" w14:paraId="5E5CAD5F" w14:textId="77777777" w:rsidTr="005A6AD4">
        <w:trPr>
          <w:trHeight w:val="1833"/>
        </w:trPr>
        <w:tc>
          <w:tcPr>
            <w:tcW w:w="6475" w:type="dxa"/>
          </w:tcPr>
          <w:p w14:paraId="1A3F6AE0" w14:textId="77777777" w:rsidR="004E0225" w:rsidRDefault="004E0225">
            <w:pPr>
              <w:rPr>
                <w:rFonts w:ascii="Georgia" w:hAnsi="Georgia"/>
                <w:b/>
                <w:color w:val="C00000"/>
                <w:sz w:val="32"/>
                <w:szCs w:val="32"/>
              </w:rPr>
            </w:pPr>
            <w:r w:rsidRPr="00BC4366">
              <w:rPr>
                <w:rFonts w:ascii="Georgia" w:hAnsi="Georgia"/>
                <w:b/>
                <w:color w:val="C00000"/>
                <w:sz w:val="32"/>
                <w:szCs w:val="32"/>
              </w:rPr>
              <w:lastRenderedPageBreak/>
              <w:t>Opportunities</w:t>
            </w:r>
          </w:p>
          <w:p w14:paraId="0DF3D3AB" w14:textId="68E7726A"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Amaka</w:t>
            </w:r>
          </w:p>
          <w:p w14:paraId="5C3AD5A1" w14:textId="77777777" w:rsidR="00D049FB" w:rsidRPr="00D049FB" w:rsidRDefault="00D049FB" w:rsidP="00D049FB">
            <w:pPr>
              <w:pStyle w:val="font-claude-response-body"/>
              <w:numPr>
                <w:ilvl w:val="0"/>
                <w:numId w:val="6"/>
              </w:numPr>
              <w:jc w:val="both"/>
              <w:rPr>
                <w:rFonts w:ascii="Georgia" w:hAnsi="Georgia"/>
                <w:sz w:val="22"/>
                <w:szCs w:val="22"/>
              </w:rPr>
            </w:pPr>
            <w:r w:rsidRPr="00D049FB">
              <w:rPr>
                <w:rStyle w:val="Strong"/>
                <w:rFonts w:ascii="Georgia" w:eastAsia="Arial" w:hAnsi="Georgia"/>
                <w:sz w:val="22"/>
                <w:szCs w:val="22"/>
              </w:rPr>
              <w:t>Pipeline Expansion and Revenue Growth Potential</w:t>
            </w:r>
            <w:r w:rsidRPr="00D049FB">
              <w:rPr>
                <w:rFonts w:ascii="Georgia" w:hAnsi="Georgia"/>
                <w:sz w:val="22"/>
                <w:szCs w:val="22"/>
              </w:rPr>
              <w:t xml:space="preserve"> The acquisition doubled the oncology pipeline for Pfizer to 60 programs and added 4 FDA approved ADCs. Pfizer publicly predicts that Seagen alone has the potential to bring in more than $10B in adjusted revenue by 2030. The application of Seagen's unique linker-payload to Pfizer's antibody library creates novel combinations to therapy.</w:t>
            </w:r>
          </w:p>
          <w:p w14:paraId="58227746" w14:textId="77777777" w:rsidR="00D049FB" w:rsidRPr="00D049FB" w:rsidRDefault="00D049FB" w:rsidP="00D049FB">
            <w:pPr>
              <w:pStyle w:val="font-claude-response-body"/>
              <w:numPr>
                <w:ilvl w:val="0"/>
                <w:numId w:val="7"/>
              </w:numPr>
              <w:jc w:val="both"/>
              <w:rPr>
                <w:rFonts w:ascii="Georgia" w:hAnsi="Georgia"/>
                <w:sz w:val="22"/>
                <w:szCs w:val="22"/>
              </w:rPr>
            </w:pPr>
            <w:r w:rsidRPr="00D049FB">
              <w:rPr>
                <w:rStyle w:val="Strong"/>
                <w:rFonts w:ascii="Georgia" w:eastAsia="Arial" w:hAnsi="Georgia"/>
                <w:sz w:val="22"/>
                <w:szCs w:val="22"/>
              </w:rPr>
              <w:t>Cost and Revenue Synergies Through Global Scale</w:t>
            </w:r>
            <w:r w:rsidRPr="00D049FB">
              <w:rPr>
                <w:rFonts w:ascii="Georgia" w:hAnsi="Georgia"/>
                <w:sz w:val="22"/>
                <w:szCs w:val="22"/>
              </w:rPr>
              <w:t xml:space="preserve"> The synergy across costs and revenues as a result of scale: Pfizer expects to achieve almost $1B in annual cost synergies by 2026 thanks to services consolidation and the rationalization of the manufacturing network. Pfizer expects revenues to increase from Seagen products being launched in other countries more quickly due to Pfizer's established presence.</w:t>
            </w:r>
          </w:p>
          <w:p w14:paraId="62F90215" w14:textId="11FEC3E1" w:rsidR="00A91E6B" w:rsidRPr="00D049FB" w:rsidRDefault="00D049FB" w:rsidP="00D049FB">
            <w:pPr>
              <w:pStyle w:val="font-claude-response-body"/>
              <w:numPr>
                <w:ilvl w:val="0"/>
                <w:numId w:val="8"/>
              </w:numPr>
              <w:jc w:val="both"/>
            </w:pPr>
            <w:r w:rsidRPr="00D049FB">
              <w:rPr>
                <w:rStyle w:val="Strong"/>
                <w:rFonts w:ascii="Georgia" w:eastAsia="Arial" w:hAnsi="Georgia"/>
                <w:sz w:val="22"/>
                <w:szCs w:val="22"/>
              </w:rPr>
              <w:t>Strategic Leadership in Precision Oncology and Emerging Partnerships</w:t>
            </w:r>
            <w:r w:rsidRPr="00D049FB">
              <w:rPr>
                <w:rFonts w:ascii="Georgia" w:hAnsi="Georgia"/>
                <w:sz w:val="22"/>
                <w:szCs w:val="22"/>
              </w:rPr>
              <w:t xml:space="preserve"> Strategically positioned to lead in precision oncology: Cancer therapies-based ADC technology are the foundation current therapies for triple negative breast cancer and metastatic colon cancer. The acquisition of ADC technology will enable trials of bispecific antibodies and antibody drug conjugates which create new partnership and licensing opportunities with other biotech companies and enable collaborations with academic institutions that were never partners before with Pfizer on oncology.</w:t>
            </w:r>
          </w:p>
        </w:tc>
        <w:tc>
          <w:tcPr>
            <w:tcW w:w="6475" w:type="dxa"/>
          </w:tcPr>
          <w:p w14:paraId="069F301D" w14:textId="77777777" w:rsidR="004E0225" w:rsidRDefault="004E0225">
            <w:pPr>
              <w:rPr>
                <w:rFonts w:ascii="Georgia" w:hAnsi="Georgia"/>
                <w:b/>
                <w:color w:val="C00000"/>
                <w:sz w:val="32"/>
                <w:szCs w:val="32"/>
              </w:rPr>
            </w:pPr>
            <w:r w:rsidRPr="00BC4366">
              <w:rPr>
                <w:rFonts w:ascii="Georgia" w:hAnsi="Georgia"/>
                <w:b/>
                <w:color w:val="C00000"/>
                <w:sz w:val="32"/>
                <w:szCs w:val="32"/>
              </w:rPr>
              <w:t>Threats</w:t>
            </w:r>
          </w:p>
          <w:p w14:paraId="24058FB8" w14:textId="7851AEAC" w:rsidR="00A91E6B"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Stella</w:t>
            </w:r>
          </w:p>
          <w:p w14:paraId="70A7024E" w14:textId="77777777" w:rsidR="00D049FB" w:rsidRPr="00D85B19" w:rsidRDefault="00D049FB" w:rsidP="00A91E6B">
            <w:pPr>
              <w:rPr>
                <w:rFonts w:ascii="Georgia" w:hAnsi="Georgia"/>
                <w:bCs/>
                <w:i/>
                <w:iCs/>
                <w:color w:val="C00000"/>
                <w:sz w:val="18"/>
                <w:szCs w:val="18"/>
              </w:rPr>
            </w:pPr>
          </w:p>
          <w:p w14:paraId="1D1AAE0E" w14:textId="4A0D4D2C" w:rsidR="00D049FB" w:rsidRDefault="00D049FB" w:rsidP="00D049FB">
            <w:pPr>
              <w:pStyle w:val="ListParagraph"/>
              <w:numPr>
                <w:ilvl w:val="0"/>
                <w:numId w:val="8"/>
              </w:numPr>
              <w:spacing w:after="160" w:line="259" w:lineRule="auto"/>
              <w:jc w:val="both"/>
              <w:rPr>
                <w:rFonts w:ascii="Georgia" w:hAnsi="Georgia"/>
              </w:rPr>
            </w:pPr>
            <w:r w:rsidRPr="00D049FB">
              <w:rPr>
                <w:rStyle w:val="Strong"/>
                <w:rFonts w:ascii="Georgia" w:hAnsi="Georgia"/>
              </w:rPr>
              <w:t>Intensifying Competition in the ADC Arms Race</w:t>
            </w:r>
            <w:r w:rsidRPr="00D049FB">
              <w:rPr>
                <w:rFonts w:ascii="Georgia" w:hAnsi="Georgia"/>
              </w:rPr>
              <w:t xml:space="preserve"> The ADC space has quietly become one of the most crowded arenas in oncology, and Pfizer is walking into a fight it has not had to face before at this scale. AbbVie spent $10.1 billion to acquire ImmunoGen, Merck committed over $4 billion to license three ADCs from Daiichi Sankyo, Bristol Myers Squibb entered with an $800 million upfront deal, and Gilead continues to advance Trodelvy following its Immunomedics acquisition. These are not peripheral competitors they are large, well-resourced companies that have been building ADC expertise for years. Pfizer is now stepping into a precision-oncology arms race where the rules are very different from its traditional strongholds in primary care and vaccines. </w:t>
            </w:r>
          </w:p>
          <w:p w14:paraId="7B56784F" w14:textId="77777777" w:rsidR="00D049FB" w:rsidRPr="00D049FB" w:rsidRDefault="00D049FB" w:rsidP="00D049FB">
            <w:pPr>
              <w:pStyle w:val="ListParagraph"/>
              <w:jc w:val="both"/>
              <w:rPr>
                <w:rFonts w:ascii="Georgia" w:hAnsi="Georgia"/>
              </w:rPr>
            </w:pPr>
          </w:p>
          <w:p w14:paraId="239420E9" w14:textId="12F9B84C" w:rsidR="00D049FB" w:rsidRDefault="00D049FB" w:rsidP="00D049FB">
            <w:pPr>
              <w:pStyle w:val="ListParagraph"/>
              <w:numPr>
                <w:ilvl w:val="0"/>
                <w:numId w:val="8"/>
              </w:numPr>
              <w:spacing w:after="160" w:line="259" w:lineRule="auto"/>
              <w:jc w:val="both"/>
              <w:rPr>
                <w:rFonts w:ascii="Georgia" w:hAnsi="Georgia"/>
              </w:rPr>
            </w:pPr>
            <w:r w:rsidRPr="00D049FB">
              <w:rPr>
                <w:rStyle w:val="Strong"/>
                <w:rFonts w:ascii="Georgia" w:hAnsi="Georgia"/>
              </w:rPr>
              <w:t>Cybersecurity Exposure During Integration</w:t>
            </w:r>
            <w:r w:rsidRPr="00D049FB">
              <w:rPr>
                <w:rFonts w:ascii="Georgia" w:hAnsi="Georgia"/>
              </w:rPr>
              <w:t xml:space="preserve"> Beyond competition, the timing of this integration creates a meaningful cybersecurity window of exposure. Pharmaceutical mergers are well-known targets for ransomware groups and nation state actors, precisely because two companies connecting their systems creates gaps that did not exist before. For Pfizer and Seagen, the stakes are especially high the ADC linker-payload technology at the heart of this deal is exactly the kind of proprietary IP that competitors and foreign actors would want. A breach during integration could expose that IP, trigger HIPAA or GDPR enforcement actions, and delay FDA submissions all at once, at the worst possible moment. </w:t>
            </w:r>
          </w:p>
          <w:p w14:paraId="12F87B96" w14:textId="77777777" w:rsidR="00D049FB" w:rsidRPr="00D049FB" w:rsidRDefault="00D049FB" w:rsidP="00D049FB">
            <w:pPr>
              <w:pStyle w:val="ListParagraph"/>
              <w:rPr>
                <w:rFonts w:ascii="Georgia" w:hAnsi="Georgia"/>
              </w:rPr>
            </w:pPr>
          </w:p>
          <w:p w14:paraId="111FFB4D" w14:textId="77777777" w:rsidR="00D049FB" w:rsidRPr="00D049FB" w:rsidRDefault="00D049FB" w:rsidP="00D049FB">
            <w:pPr>
              <w:pStyle w:val="ListParagraph"/>
              <w:jc w:val="both"/>
              <w:rPr>
                <w:rFonts w:ascii="Georgia" w:hAnsi="Georgia"/>
              </w:rPr>
            </w:pPr>
          </w:p>
          <w:p w14:paraId="05D1D81E" w14:textId="3E3F06EE" w:rsidR="00A91E6B" w:rsidRPr="00D049FB" w:rsidRDefault="00D049FB" w:rsidP="00D049FB">
            <w:pPr>
              <w:pStyle w:val="ListParagraph"/>
              <w:numPr>
                <w:ilvl w:val="0"/>
                <w:numId w:val="9"/>
              </w:numPr>
              <w:jc w:val="both"/>
              <w:rPr>
                <w:rFonts w:ascii="Georgia" w:hAnsi="Georgia"/>
                <w:b/>
                <w:sz w:val="32"/>
                <w:szCs w:val="32"/>
              </w:rPr>
            </w:pPr>
            <w:r w:rsidRPr="00D049FB">
              <w:rPr>
                <w:rStyle w:val="Strong"/>
                <w:rFonts w:ascii="Georgia" w:hAnsi="Georgia"/>
              </w:rPr>
              <w:t>Regulatory, Pricing, and Litigation Pressure in a Shifting Market</w:t>
            </w:r>
            <w:r w:rsidRPr="00D049FB">
              <w:rPr>
                <w:rFonts w:ascii="Georgia" w:hAnsi="Georgia"/>
              </w:rPr>
              <w:t xml:space="preserve"> Finally, the U.S. pricing and regulatory environment has shifted in ways that directly threaten the financial case for this deal. The Inflation Reduction Act introduced Medicare drug-price negotiation, which could compress margins on future Seagen derived blockbusters that Pfizer is counting on to hit its $10 billion revenue target by 2030. The FTC's extended review of the acquisition itself signals that large pharma M&amp;A is under a different level of scrutiny than it was a decade ago. Product liability and patent litigation in oncology add further unpredictability to an already complex picture.</w:t>
            </w:r>
          </w:p>
        </w:tc>
      </w:tr>
    </w:tbl>
    <w:p w14:paraId="4FB6DC78" w14:textId="3534B931" w:rsidR="00D85B19" w:rsidRDefault="00D85B19">
      <w:pPr>
        <w:rPr>
          <w:rFonts w:ascii="Georgia" w:hAnsi="Georgia"/>
          <w:sz w:val="32"/>
          <w:szCs w:val="32"/>
        </w:rPr>
      </w:pPr>
    </w:p>
    <w:p w14:paraId="3329F3B5" w14:textId="77777777" w:rsidR="0030618D" w:rsidRDefault="0030618D">
      <w:pPr>
        <w:rPr>
          <w:rFonts w:ascii="Georgia" w:hAnsi="Georgia"/>
          <w:sz w:val="32"/>
          <w:szCs w:val="32"/>
        </w:rPr>
      </w:pPr>
    </w:p>
    <w:p w14:paraId="42B15F39" w14:textId="2E3905F5" w:rsidR="00D85B19" w:rsidRP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Key Risk Indicators by Operational Element</w:t>
      </w:r>
    </w:p>
    <w:p w14:paraId="5CA64CDD" w14:textId="3400E9F8" w:rsidR="00D85B19" w:rsidRDefault="00D85B19" w:rsidP="00D85B19">
      <w:pPr>
        <w:rPr>
          <w:rFonts w:ascii="Georgia" w:hAnsi="Georgia"/>
        </w:rPr>
      </w:pPr>
      <w:r w:rsidRPr="00D85B19">
        <w:rPr>
          <w:rFonts w:ascii="Georgia" w:hAnsi="Georgia"/>
        </w:rPr>
        <w:t>KRIs convert qualitative risk from the SWOT into quantitative metrics that can be monitored. Each KRI has a risk owner who is responsible for reporting it quarterly via the Enterprise Risk Committee, with urgent indicators reported monthly while integrating.</w:t>
      </w:r>
    </w:p>
    <w:tbl>
      <w:tblPr>
        <w:tblW w:w="12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534"/>
        <w:gridCol w:w="9214"/>
      </w:tblGrid>
      <w:tr w:rsidR="00D85B19" w:rsidRPr="00D85B19" w14:paraId="072E7DC2" w14:textId="77777777" w:rsidTr="002C5E6B">
        <w:trPr>
          <w:tblHeader/>
        </w:trPr>
        <w:tc>
          <w:tcPr>
            <w:tcW w:w="2144"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3C36FC49" w14:textId="77777777" w:rsidR="00D85B19" w:rsidRPr="00D85B19" w:rsidRDefault="00D85B19" w:rsidP="00ED4AA4">
            <w:pPr>
              <w:rPr>
                <w:rFonts w:ascii="Georgia" w:hAnsi="Georgia"/>
              </w:rPr>
            </w:pPr>
            <w:r w:rsidRPr="00D85B19">
              <w:rPr>
                <w:rFonts w:ascii="Georgia" w:eastAsia="Arial" w:hAnsi="Georgia" w:cs="Arial"/>
                <w:b/>
                <w:bCs/>
                <w:color w:val="FFFFFF"/>
              </w:rPr>
              <w:t>Risk Category</w:t>
            </w:r>
          </w:p>
        </w:tc>
        <w:tc>
          <w:tcPr>
            <w:tcW w:w="1534"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2479639F" w14:textId="77777777" w:rsidR="00D85B19" w:rsidRPr="00D85B19" w:rsidRDefault="00D85B19" w:rsidP="00ED4AA4">
            <w:pPr>
              <w:rPr>
                <w:rFonts w:ascii="Georgia" w:hAnsi="Georgia"/>
              </w:rPr>
            </w:pPr>
            <w:r w:rsidRPr="00D85B19">
              <w:rPr>
                <w:rFonts w:ascii="Georgia" w:eastAsia="Arial" w:hAnsi="Georgia" w:cs="Arial"/>
                <w:b/>
                <w:bCs/>
                <w:color w:val="FFFFFF"/>
              </w:rPr>
              <w:t>Owner</w:t>
            </w:r>
          </w:p>
        </w:tc>
        <w:tc>
          <w:tcPr>
            <w:tcW w:w="9214"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5FEFA234" w14:textId="77777777" w:rsidR="00D85B19" w:rsidRPr="00D85B19" w:rsidRDefault="00D85B19" w:rsidP="00ED4AA4">
            <w:pPr>
              <w:rPr>
                <w:rFonts w:ascii="Georgia" w:hAnsi="Georgia"/>
              </w:rPr>
            </w:pPr>
            <w:r w:rsidRPr="00D85B19">
              <w:rPr>
                <w:rFonts w:ascii="Georgia" w:eastAsia="Arial" w:hAnsi="Georgia" w:cs="Arial"/>
                <w:b/>
                <w:bCs/>
                <w:color w:val="FFFFFF"/>
              </w:rPr>
              <w:t>Key Risk Indicators (KRIs)</w:t>
            </w:r>
          </w:p>
        </w:tc>
      </w:tr>
      <w:tr w:rsidR="00D85B19" w:rsidRPr="00D85B19" w14:paraId="18FC1292" w14:textId="77777777" w:rsidTr="002C5E6B">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D9B3F4A" w14:textId="77777777" w:rsidR="00D85B19" w:rsidRPr="00D85B19" w:rsidRDefault="00D85B19" w:rsidP="00ED4AA4">
            <w:pPr>
              <w:rPr>
                <w:rFonts w:ascii="Georgia" w:hAnsi="Georgia"/>
              </w:rPr>
            </w:pPr>
            <w:r w:rsidRPr="00D85B19">
              <w:rPr>
                <w:rFonts w:ascii="Georgia" w:eastAsia="Arial" w:hAnsi="Georgia" w:cs="Arial"/>
                <w:b/>
                <w:bCs/>
              </w:rPr>
              <w:t>People</w:t>
            </w:r>
          </w:p>
        </w:tc>
        <w:tc>
          <w:tcPr>
            <w:tcW w:w="153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67D7BC1E"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921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58BA9E" w14:textId="37D1CC36" w:rsidR="00D85B19" w:rsidRPr="00D85B19" w:rsidRDefault="00D85B19" w:rsidP="00D85B19">
            <w:pPr>
              <w:jc w:val="both"/>
              <w:rPr>
                <w:rFonts w:ascii="Georgia" w:hAnsi="Georgia" w:cs="Geeza Pro"/>
              </w:rPr>
            </w:pPr>
            <w:r w:rsidRPr="00D85B19">
              <w:rPr>
                <w:rFonts w:ascii="Georgia" w:hAnsi="Georgia" w:cs="Geeza Pro"/>
              </w:rPr>
              <w:t>Attrition rate among Seagen's ADC scientists and senior commercial leaders; time taken to hire key staff for oncology R&amp;D jobs; integrated units' engagement scores; count of dependencies on key people for Seagen's ADC linker-payload IP.</w:t>
            </w:r>
          </w:p>
        </w:tc>
      </w:tr>
      <w:tr w:rsidR="00D85B19" w:rsidRPr="00D85B19" w14:paraId="248194A9" w14:textId="77777777" w:rsidTr="002C5E6B">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9613658" w14:textId="77777777" w:rsidR="00D85B19" w:rsidRPr="00D85B19" w:rsidRDefault="00D85B19" w:rsidP="00ED4AA4">
            <w:pPr>
              <w:rPr>
                <w:rFonts w:ascii="Georgia" w:hAnsi="Georgia"/>
              </w:rPr>
            </w:pPr>
            <w:r w:rsidRPr="00D85B19">
              <w:rPr>
                <w:rFonts w:ascii="Georgia" w:eastAsia="Arial" w:hAnsi="Georgia" w:cs="Arial"/>
                <w:b/>
                <w:bCs/>
              </w:rPr>
              <w:t>Processes</w:t>
            </w:r>
          </w:p>
        </w:tc>
        <w:tc>
          <w:tcPr>
            <w:tcW w:w="153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16E9680"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921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A907FBF" w14:textId="15CE3C34" w:rsidR="00D85B19" w:rsidRPr="00D85B19" w:rsidRDefault="00D85B19" w:rsidP="00D85B19">
            <w:pPr>
              <w:jc w:val="both"/>
              <w:rPr>
                <w:rFonts w:ascii="Georgia" w:hAnsi="Georgia" w:cs="Geeza Pro"/>
              </w:rPr>
            </w:pPr>
            <w:r w:rsidRPr="00D85B19">
              <w:rPr>
                <w:rFonts w:ascii="Georgia" w:hAnsi="Georgia" w:cs="Geeza Pro"/>
              </w:rPr>
              <w:t>Number of missed integration milestones; cycle times to approve clinical trial protocols after integration; number of GxP findings; percentage capture of synergy against the $1 billion goal in 2026; number of SOX deficiencies within the consolidated entity.</w:t>
            </w:r>
          </w:p>
        </w:tc>
      </w:tr>
      <w:tr w:rsidR="00D85B19" w:rsidRPr="00D85B19" w14:paraId="0ACB37C9" w14:textId="77777777" w:rsidTr="002C5E6B">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A30DBCF" w14:textId="77777777" w:rsidR="00D85B19" w:rsidRPr="00D85B19" w:rsidRDefault="00D85B19" w:rsidP="00ED4AA4">
            <w:pPr>
              <w:rPr>
                <w:rFonts w:ascii="Georgia" w:hAnsi="Georgia"/>
              </w:rPr>
            </w:pPr>
            <w:r w:rsidRPr="00D85B19">
              <w:rPr>
                <w:rFonts w:ascii="Georgia" w:eastAsia="Arial" w:hAnsi="Georgia" w:cs="Arial"/>
                <w:b/>
                <w:bCs/>
              </w:rPr>
              <w:lastRenderedPageBreak/>
              <w:t>Technology</w:t>
            </w:r>
          </w:p>
        </w:tc>
        <w:tc>
          <w:tcPr>
            <w:tcW w:w="153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F6D4174"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921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D74F440" w14:textId="4EE53DDD" w:rsidR="00D85B19" w:rsidRPr="00D85B19" w:rsidRDefault="0030618D" w:rsidP="00D85B19">
            <w:pPr>
              <w:rPr>
                <w:lang w:eastAsia="zh-CN"/>
              </w:rPr>
            </w:pPr>
            <w:r w:rsidRPr="0030618D">
              <w:rPr>
                <w:rFonts w:ascii="Georgia" w:hAnsi="Georgia" w:cs="Geeza Pro" w:hint="eastAsia"/>
              </w:rPr>
              <w:t xml:space="preserve">Number </w:t>
            </w:r>
            <w:r>
              <w:rPr>
                <w:rFonts w:ascii="Georgia" w:hAnsi="Georgia" w:cs="Geeza Pro" w:hint="eastAsia"/>
                <w:lang w:eastAsia="zh-CN"/>
              </w:rPr>
              <w:t xml:space="preserve">of unpatched serious security problems; mean time to detect and respond to security incidents; number of failures in system integrations between Pfizer and Seagen ERP/CTMS/MES platforms; monthly anomalies in ePHI access.  </w:t>
            </w:r>
          </w:p>
        </w:tc>
      </w:tr>
      <w:tr w:rsidR="00D85B19" w:rsidRPr="00D85B19" w14:paraId="7F7AEBB9" w14:textId="77777777" w:rsidTr="002C5E6B">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3127C94D" w14:textId="77777777" w:rsidR="00D85B19" w:rsidRPr="00D85B19" w:rsidRDefault="00D85B19" w:rsidP="00ED4AA4">
            <w:pPr>
              <w:rPr>
                <w:rFonts w:ascii="Georgia" w:hAnsi="Georgia"/>
              </w:rPr>
            </w:pPr>
            <w:r w:rsidRPr="00D85B19">
              <w:rPr>
                <w:rFonts w:ascii="Georgia" w:eastAsia="Arial" w:hAnsi="Georgia" w:cs="Arial"/>
                <w:b/>
                <w:bCs/>
              </w:rPr>
              <w:t>Facilities</w:t>
            </w:r>
          </w:p>
        </w:tc>
        <w:tc>
          <w:tcPr>
            <w:tcW w:w="153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E625A0D"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921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E257EB5" w14:textId="1B07347C" w:rsidR="00D85B19" w:rsidRPr="00256D7C" w:rsidRDefault="00256D7C" w:rsidP="00D85B19">
            <w:pPr>
              <w:rPr>
                <w:lang w:eastAsia="zh-CN"/>
              </w:rPr>
            </w:pPr>
            <w:r>
              <w:rPr>
                <w:rFonts w:ascii="Georgia" w:hAnsi="Georgia" w:cs="Geeza Pro" w:hint="eastAsia"/>
                <w:lang w:eastAsia="zh-CN"/>
              </w:rPr>
              <w:t>Number of quality events including Form 483 observations and warning letters, at Seagen</w:t>
            </w:r>
            <w:r>
              <w:rPr>
                <w:rFonts w:ascii="Georgia" w:hAnsi="Georgia" w:cs="Geeza Pro"/>
                <w:lang w:eastAsia="zh-CN"/>
              </w:rPr>
              <w:t>’</w:t>
            </w:r>
            <w:r>
              <w:rPr>
                <w:rFonts w:ascii="Georgia" w:hAnsi="Georgia" w:cs="Geeza Pro" w:hint="eastAsia"/>
                <w:lang w:eastAsia="zh-CN"/>
              </w:rPr>
              <w:t>s B</w:t>
            </w:r>
            <w:r>
              <w:rPr>
                <w:rFonts w:ascii="Georgia" w:hAnsi="Georgia" w:cs="Geeza Pro"/>
                <w:lang w:eastAsia="zh-CN"/>
              </w:rPr>
              <w:t>o</w:t>
            </w:r>
            <w:r>
              <w:rPr>
                <w:rFonts w:ascii="Georgia" w:hAnsi="Georgia" w:cs="Geeza Pro" w:hint="eastAsia"/>
                <w:lang w:eastAsia="zh-CN"/>
              </w:rPr>
              <w:t xml:space="preserve">thell, WA site and Pfizer manufacturing sites; days of supply-chain disruption for ADC cytotoxic payloads; EHS incident rate; number of physical security incidents at R&amp;D facilities. </w:t>
            </w:r>
          </w:p>
        </w:tc>
      </w:tr>
      <w:tr w:rsidR="00D85B19" w:rsidRPr="00D85B19" w14:paraId="43F6D005" w14:textId="77777777" w:rsidTr="002C5E6B">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29B20FB8" w14:textId="77777777" w:rsidR="00D85B19" w:rsidRPr="00D85B19" w:rsidRDefault="00D85B19" w:rsidP="00ED4AA4">
            <w:pPr>
              <w:rPr>
                <w:rFonts w:ascii="Georgia" w:hAnsi="Georgia"/>
              </w:rPr>
            </w:pPr>
            <w:r w:rsidRPr="00D85B19">
              <w:rPr>
                <w:rFonts w:ascii="Georgia" w:eastAsia="Arial" w:hAnsi="Georgia" w:cs="Arial"/>
                <w:b/>
                <w:bCs/>
              </w:rPr>
              <w:t>Other (Financial, Regulatory, Strategic)</w:t>
            </w:r>
          </w:p>
        </w:tc>
        <w:tc>
          <w:tcPr>
            <w:tcW w:w="153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2F11D4E5"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AMAKA</w:t>
            </w:r>
          </w:p>
        </w:tc>
        <w:tc>
          <w:tcPr>
            <w:tcW w:w="9214"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2120DE" w14:textId="196BE456" w:rsidR="00D85B19" w:rsidRPr="00F30EBD" w:rsidRDefault="00F30EBD" w:rsidP="00D85B19">
            <w:pPr>
              <w:rPr>
                <w:rFonts w:ascii="Georgia" w:hAnsi="Georgia"/>
              </w:rPr>
            </w:pPr>
            <w:r w:rsidRPr="00F30EBD">
              <w:rPr>
                <w:rFonts w:ascii="Georgia" w:hAnsi="Georgia" w:cs="Times New Roman"/>
              </w:rPr>
              <w:t>Free cash flow versus debt service obligations on $31B of acquisition debt; delays in FDA submissions; IRA Medicare negotiations for both on-market and in-line pipeline products; Foreign exchange impact on consolidated oncology revenue; trends in ESG and litigation reserves.</w:t>
            </w:r>
          </w:p>
        </w:tc>
      </w:tr>
    </w:tbl>
    <w:p w14:paraId="0D638220" w14:textId="77999073" w:rsidR="00D85B19" w:rsidRDefault="00D85B19" w:rsidP="00D85B19">
      <w:pPr>
        <w:rPr>
          <w:rFonts w:ascii="Georgia" w:hAnsi="Georgia"/>
        </w:rPr>
      </w:pPr>
    </w:p>
    <w:p w14:paraId="59478A68" w14:textId="77777777" w:rsidR="002C5E6B" w:rsidRDefault="002C5E6B" w:rsidP="00D85B19">
      <w:pPr>
        <w:rPr>
          <w:rFonts w:ascii="Georgia" w:hAnsi="Georgia"/>
        </w:rPr>
      </w:pPr>
    </w:p>
    <w:p w14:paraId="047488B0" w14:textId="47239F42" w:rsid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Contributing Factors and Preliminary Controls</w:t>
      </w:r>
    </w:p>
    <w:p w14:paraId="055F51B7" w14:textId="77777777" w:rsidR="00F30EBD" w:rsidRDefault="00935536" w:rsidP="00F30EBD">
      <w:pPr>
        <w:pStyle w:val="ListParagraph"/>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Amaka</w:t>
      </w:r>
    </w:p>
    <w:p w14:paraId="70DA7D81" w14:textId="77777777" w:rsidR="00F30EBD" w:rsidRDefault="00F30EBD" w:rsidP="00F30EBD">
      <w:pPr>
        <w:pStyle w:val="ListParagraph"/>
        <w:rPr>
          <w:rFonts w:ascii="Georgia" w:hAnsi="Georgia"/>
        </w:rPr>
      </w:pPr>
    </w:p>
    <w:p w14:paraId="1A2E7115" w14:textId="34CE7E92" w:rsidR="00F30EBD" w:rsidRPr="00F30EBD" w:rsidRDefault="00F30EBD" w:rsidP="00D831C5">
      <w:pPr>
        <w:pStyle w:val="ListParagraph"/>
        <w:ind w:left="426"/>
        <w:rPr>
          <w:rFonts w:ascii="Georgia" w:hAnsi="Georgia"/>
          <w:i/>
          <w:iCs/>
          <w:sz w:val="18"/>
          <w:szCs w:val="18"/>
        </w:rPr>
      </w:pPr>
      <w:r w:rsidRPr="00F30EBD">
        <w:rPr>
          <w:rFonts w:ascii="Georgia" w:hAnsi="Georgia"/>
        </w:rPr>
        <w:t>The table below links the main risks behind the acquisition with their drivers and initial controls in anticipation of the formal risk assessment and treatment phases. The controls inventory is preliminary and will be refined through control design workshops, walkthrough testing, and risk-and-control self-assessment (RCSA) during the assessment phase.</w:t>
      </w:r>
    </w:p>
    <w:tbl>
      <w:tblPr>
        <w:tblW w:w="11820" w:type="dxa"/>
        <w:tblInd w:w="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3827"/>
        <w:gridCol w:w="5016"/>
      </w:tblGrid>
      <w:tr w:rsidR="00F30EBD" w:rsidRPr="00F30EBD" w14:paraId="236577CE" w14:textId="77777777" w:rsidTr="00010468">
        <w:trPr>
          <w:tblHeader/>
        </w:trPr>
        <w:tc>
          <w:tcPr>
            <w:tcW w:w="2977"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02B5032E" w14:textId="77777777" w:rsidR="00F30EBD" w:rsidRPr="00F30EBD" w:rsidRDefault="00F30EBD" w:rsidP="00F30EBD">
            <w:pPr>
              <w:rPr>
                <w:rFonts w:ascii="Georgia" w:hAnsi="Georgia"/>
                <w:b/>
                <w:bCs/>
              </w:rPr>
            </w:pPr>
            <w:r w:rsidRPr="00F30EBD">
              <w:rPr>
                <w:rFonts w:ascii="Georgia" w:hAnsi="Georgia"/>
                <w:b/>
                <w:bCs/>
              </w:rPr>
              <w:t>Risk</w:t>
            </w:r>
          </w:p>
        </w:tc>
        <w:tc>
          <w:tcPr>
            <w:tcW w:w="3827"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7547B94D" w14:textId="77777777" w:rsidR="00F30EBD" w:rsidRPr="00F30EBD" w:rsidRDefault="00F30EBD" w:rsidP="00F30EBD">
            <w:pPr>
              <w:rPr>
                <w:rFonts w:ascii="Georgia" w:hAnsi="Georgia"/>
                <w:b/>
                <w:bCs/>
              </w:rPr>
            </w:pPr>
            <w:r w:rsidRPr="00F30EBD">
              <w:rPr>
                <w:rFonts w:ascii="Georgia" w:hAnsi="Georgia"/>
                <w:b/>
                <w:bCs/>
              </w:rPr>
              <w:t>Contributing Factors</w:t>
            </w:r>
          </w:p>
        </w:tc>
        <w:tc>
          <w:tcPr>
            <w:tcW w:w="5016"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5B9CA4A7" w14:textId="77777777" w:rsidR="00F30EBD" w:rsidRPr="00F30EBD" w:rsidRDefault="00F30EBD" w:rsidP="00F30EBD">
            <w:pPr>
              <w:rPr>
                <w:rFonts w:ascii="Georgia" w:hAnsi="Georgia"/>
                <w:b/>
                <w:bCs/>
              </w:rPr>
            </w:pPr>
            <w:r w:rsidRPr="00F30EBD">
              <w:rPr>
                <w:rFonts w:ascii="Georgia" w:hAnsi="Georgia"/>
                <w:b/>
                <w:bCs/>
              </w:rPr>
              <w:t>Preliminary Controls</w:t>
            </w:r>
          </w:p>
        </w:tc>
      </w:tr>
      <w:tr w:rsidR="00F30EBD" w:rsidRPr="00F30EBD" w14:paraId="7CEDBF10"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6B1EB36" w14:textId="77777777" w:rsidR="00F30EBD" w:rsidRPr="00F30EBD" w:rsidRDefault="00F30EBD" w:rsidP="00F30EBD">
            <w:pPr>
              <w:rPr>
                <w:rFonts w:ascii="Georgia" w:hAnsi="Georgia"/>
              </w:rPr>
            </w:pPr>
            <w:r w:rsidRPr="00F30EBD">
              <w:rPr>
                <w:rFonts w:ascii="Georgia" w:hAnsi="Georgia"/>
              </w:rPr>
              <w:t>Integration execution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2993421" w14:textId="77777777" w:rsidR="00F30EBD" w:rsidRPr="00F30EBD" w:rsidRDefault="00F30EBD" w:rsidP="00F30EBD">
            <w:pPr>
              <w:rPr>
                <w:rFonts w:ascii="Georgia" w:hAnsi="Georgia"/>
              </w:rPr>
            </w:pPr>
            <w:r w:rsidRPr="00F30EBD">
              <w:rPr>
                <w:rFonts w:ascii="Georgia" w:hAnsi="Georgia"/>
              </w:rPr>
              <w:t xml:space="preserve">Cultural disconnect Matrix decision making Loss of Seagen </w:t>
            </w:r>
            <w:r w:rsidRPr="00F30EBD">
              <w:rPr>
                <w:rFonts w:ascii="Georgia" w:hAnsi="Georgia"/>
              </w:rPr>
              <w:lastRenderedPageBreak/>
              <w:t>independence Concurrent cost-cutting initiative</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A71DB0F" w14:textId="77777777" w:rsidR="00F30EBD" w:rsidRPr="00F30EBD" w:rsidRDefault="00F30EBD" w:rsidP="00F30EBD">
            <w:pPr>
              <w:rPr>
                <w:rFonts w:ascii="Georgia" w:hAnsi="Georgia"/>
              </w:rPr>
            </w:pPr>
            <w:r w:rsidRPr="00F30EBD">
              <w:rPr>
                <w:rFonts w:ascii="Georgia" w:hAnsi="Georgia"/>
              </w:rPr>
              <w:lastRenderedPageBreak/>
              <w:t xml:space="preserve">Dedicated Integration Management Office reporting to CEO; retention bonuses and equity </w:t>
            </w:r>
            <w:r w:rsidRPr="00F30EBD">
              <w:rPr>
                <w:rFonts w:ascii="Georgia" w:hAnsi="Georgia"/>
              </w:rPr>
              <w:lastRenderedPageBreak/>
              <w:t>for key ADC scientists; Seagen R&amp;D leadership retained within Pfizer Oncology Division; milestone-based integration scorecard reviewed by Audit Committee</w:t>
            </w:r>
          </w:p>
        </w:tc>
      </w:tr>
      <w:tr w:rsidR="00F30EBD" w:rsidRPr="00F30EBD" w14:paraId="2BE2F362"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47C7C950" w14:textId="77777777" w:rsidR="00F30EBD" w:rsidRPr="00F30EBD" w:rsidRDefault="00F30EBD" w:rsidP="00F30EBD">
            <w:pPr>
              <w:rPr>
                <w:rFonts w:ascii="Georgia" w:hAnsi="Georgia"/>
              </w:rPr>
            </w:pPr>
            <w:r w:rsidRPr="00F30EBD">
              <w:rPr>
                <w:rFonts w:ascii="Georgia" w:hAnsi="Georgia"/>
              </w:rPr>
              <w:lastRenderedPageBreak/>
              <w:t>Clinical and regulatory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682EFAE" w14:textId="77777777" w:rsidR="00F30EBD" w:rsidRPr="00F30EBD" w:rsidRDefault="00F30EBD" w:rsidP="00F30EBD">
            <w:pPr>
              <w:rPr>
                <w:rFonts w:ascii="Georgia" w:hAnsi="Georgia"/>
              </w:rPr>
            </w:pPr>
            <w:r w:rsidRPr="00F30EBD">
              <w:rPr>
                <w:rFonts w:ascii="Georgia" w:hAnsi="Georgia"/>
              </w:rPr>
              <w:t>Trial endpoints not met; FDA / EMA non-approval; issues with manufacturing comparability after integration</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831DC72" w14:textId="77777777" w:rsidR="00F30EBD" w:rsidRPr="00F30EBD" w:rsidRDefault="00F30EBD" w:rsidP="00F30EBD">
            <w:pPr>
              <w:rPr>
                <w:rFonts w:ascii="Georgia" w:hAnsi="Georgia"/>
              </w:rPr>
            </w:pPr>
            <w:r w:rsidRPr="00F30EBD">
              <w:rPr>
                <w:rFonts w:ascii="Georgia" w:hAnsi="Georgia"/>
              </w:rPr>
              <w:t>Independent Data Monitoring Committees Regulatory Pre-Submission Meetings Manufacturing Validation in Parallel Track GxP Audit Program Expanded to Seagen Sites Risk-Based Monitoring per ICH E6(R3)</w:t>
            </w:r>
          </w:p>
        </w:tc>
      </w:tr>
      <w:tr w:rsidR="00F30EBD" w:rsidRPr="00F30EBD" w14:paraId="35D3AB6D"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3C9FB4B8" w14:textId="77777777" w:rsidR="00F30EBD" w:rsidRPr="00F30EBD" w:rsidRDefault="00F30EBD" w:rsidP="00F30EBD">
            <w:pPr>
              <w:rPr>
                <w:rFonts w:ascii="Georgia" w:hAnsi="Georgia"/>
              </w:rPr>
            </w:pPr>
            <w:r w:rsidRPr="00F30EBD">
              <w:rPr>
                <w:rFonts w:ascii="Georgia" w:hAnsi="Georgia"/>
              </w:rPr>
              <w:t>Cybersecurity and information security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5E4C092" w14:textId="77777777" w:rsidR="00F30EBD" w:rsidRPr="00F30EBD" w:rsidRDefault="00F30EBD" w:rsidP="00F30EBD">
            <w:pPr>
              <w:rPr>
                <w:rFonts w:ascii="Georgia" w:hAnsi="Georgia"/>
              </w:rPr>
            </w:pPr>
            <w:r w:rsidRPr="00F30EBD">
              <w:rPr>
                <w:rFonts w:ascii="Georgia" w:hAnsi="Georgia"/>
              </w:rPr>
              <w:t>Increased attack surface while integrating systems; ransomware attacks on the IP of the pharmaceutical industry; threats from within; exposure to third-party vendors</w:t>
            </w:r>
          </w:p>
          <w:p w14:paraId="43BC970D" w14:textId="77777777" w:rsidR="00F30EBD" w:rsidRPr="00F30EBD" w:rsidRDefault="00F30EBD" w:rsidP="00F30EBD">
            <w:pPr>
              <w:rPr>
                <w:rFonts w:ascii="Georgia" w:hAnsi="Georgia"/>
              </w:rPr>
            </w:pP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34FBAAC9" w14:textId="77777777" w:rsidR="00F30EBD" w:rsidRPr="00F30EBD" w:rsidRDefault="00F30EBD" w:rsidP="00F30EBD">
            <w:pPr>
              <w:rPr>
                <w:rFonts w:ascii="Georgia" w:hAnsi="Georgia"/>
              </w:rPr>
            </w:pPr>
            <w:r w:rsidRPr="00F30EBD">
              <w:rPr>
                <w:rFonts w:ascii="Georgia" w:hAnsi="Georgia"/>
              </w:rPr>
              <w:t>Zero trust segmentation of legacy networks until the integration is proven; 24x7 SOC monitoring; Seagen logs ingestion into SIEM on day 1; MFA &amp; PAM; tabletop exercise for a breach during an M&amp;A scenario; data mapping &amp; DPIA for HIPAA/GDPR</w:t>
            </w:r>
          </w:p>
        </w:tc>
      </w:tr>
      <w:tr w:rsidR="00F30EBD" w:rsidRPr="00F30EBD" w14:paraId="5671124B"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464363D" w14:textId="77777777" w:rsidR="00F30EBD" w:rsidRPr="00F30EBD" w:rsidRDefault="00F30EBD" w:rsidP="00F30EBD">
            <w:pPr>
              <w:rPr>
                <w:rFonts w:ascii="Georgia" w:hAnsi="Georgia"/>
              </w:rPr>
            </w:pPr>
            <w:r w:rsidRPr="00F30EBD">
              <w:rPr>
                <w:rFonts w:ascii="Georgia" w:hAnsi="Georgia"/>
              </w:rPr>
              <w:t>Technology / IT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63817A21" w14:textId="77777777" w:rsidR="00F30EBD" w:rsidRPr="00F30EBD" w:rsidRDefault="00F30EBD" w:rsidP="00F30EBD">
            <w:pPr>
              <w:rPr>
                <w:rFonts w:ascii="Georgia" w:hAnsi="Georgia"/>
              </w:rPr>
            </w:pPr>
            <w:r w:rsidRPr="00F30EBD">
              <w:rPr>
                <w:rFonts w:ascii="Georgia" w:hAnsi="Georgia"/>
              </w:rPr>
              <w:t>Old system incompatible with the new system. Data migration failed, leading to mistakes in the data and service disruption for clinical trials. Shadow IT</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9373820" w14:textId="77777777" w:rsidR="00F30EBD" w:rsidRPr="00F30EBD" w:rsidRDefault="00F30EBD" w:rsidP="00F30EBD">
            <w:pPr>
              <w:rPr>
                <w:rFonts w:ascii="Georgia" w:hAnsi="Georgia"/>
              </w:rPr>
            </w:pPr>
            <w:r w:rsidRPr="00F30EBD">
              <w:rPr>
                <w:rFonts w:ascii="Georgia" w:hAnsi="Georgia"/>
              </w:rPr>
              <w:t>Phased ERP/CTMS migration with parallel run, data integrity controls set in place per ALCOA+, SOX ITGC testing and documented change management board; system retirement plan outlined</w:t>
            </w:r>
          </w:p>
        </w:tc>
      </w:tr>
      <w:tr w:rsidR="00F30EBD" w:rsidRPr="00F30EBD" w14:paraId="70E44EA2"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4AD7AC06" w14:textId="77777777" w:rsidR="00F30EBD" w:rsidRPr="00F30EBD" w:rsidRDefault="00F30EBD" w:rsidP="00F30EBD">
            <w:pPr>
              <w:rPr>
                <w:rFonts w:ascii="Georgia" w:hAnsi="Georgia"/>
              </w:rPr>
            </w:pPr>
            <w:r w:rsidRPr="00F30EBD">
              <w:rPr>
                <w:rFonts w:ascii="Georgia" w:hAnsi="Georgia"/>
              </w:rPr>
              <w:t>Financial and market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EEF47C8" w14:textId="77777777" w:rsidR="00F30EBD" w:rsidRPr="00F30EBD" w:rsidRDefault="00F30EBD" w:rsidP="00F30EBD">
            <w:pPr>
              <w:rPr>
                <w:rFonts w:ascii="Georgia" w:hAnsi="Georgia"/>
              </w:rPr>
            </w:pPr>
            <w:r w:rsidRPr="00F30EBD">
              <w:rPr>
                <w:rFonts w:ascii="Georgia" w:hAnsi="Georgia"/>
              </w:rPr>
              <w:t xml:space="preserve">Debt service overhang ($31B financed); Revenue decline for </w:t>
            </w:r>
            <w:r w:rsidRPr="00F30EBD">
              <w:rPr>
                <w:rFonts w:ascii="Georgia" w:hAnsi="Georgia"/>
              </w:rPr>
              <w:lastRenderedPageBreak/>
              <w:t>COVID drugs; IRA price negotiations; Currency swings</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CA1A92F" w14:textId="77777777" w:rsidR="00F30EBD" w:rsidRPr="00F30EBD" w:rsidRDefault="00F30EBD" w:rsidP="00F30EBD">
            <w:pPr>
              <w:rPr>
                <w:rFonts w:ascii="Georgia" w:hAnsi="Georgia"/>
              </w:rPr>
            </w:pPr>
            <w:r w:rsidRPr="00F30EBD">
              <w:rPr>
                <w:rFonts w:ascii="Georgia" w:hAnsi="Georgia"/>
              </w:rPr>
              <w:lastRenderedPageBreak/>
              <w:t xml:space="preserve">Treasury hedge plan, monitoring of debt covenants, scenario-based forecasting, investor </w:t>
            </w:r>
            <w:r w:rsidRPr="00F30EBD">
              <w:rPr>
                <w:rFonts w:ascii="Georgia" w:hAnsi="Georgia"/>
              </w:rPr>
              <w:lastRenderedPageBreak/>
              <w:t>transparency around synergy capture, and product-portfolio realignment to oncology</w:t>
            </w:r>
          </w:p>
        </w:tc>
      </w:tr>
      <w:tr w:rsidR="00F30EBD" w:rsidRPr="00F30EBD" w14:paraId="568D4256"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1A97F89" w14:textId="77777777" w:rsidR="00F30EBD" w:rsidRPr="00F30EBD" w:rsidRDefault="00F30EBD" w:rsidP="00F30EBD">
            <w:pPr>
              <w:rPr>
                <w:rFonts w:ascii="Georgia" w:hAnsi="Georgia"/>
              </w:rPr>
            </w:pPr>
            <w:r w:rsidRPr="00F30EBD">
              <w:rPr>
                <w:rFonts w:ascii="Georgia" w:hAnsi="Georgia"/>
              </w:rPr>
              <w:lastRenderedPageBreak/>
              <w:t>Competitive and strategic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E8E66C9" w14:textId="77777777" w:rsidR="00F30EBD" w:rsidRPr="00F30EBD" w:rsidRDefault="00F30EBD" w:rsidP="00F30EBD">
            <w:pPr>
              <w:rPr>
                <w:rFonts w:ascii="Georgia" w:hAnsi="Georgia"/>
              </w:rPr>
            </w:pPr>
            <w:r w:rsidRPr="00F30EBD">
              <w:rPr>
                <w:rFonts w:ascii="Georgia" w:hAnsi="Georgia"/>
              </w:rPr>
              <w:t>ADC arms race (AbbVie, Merck, BMS, Gilead, Daiichi Sankyo); Biosimilar / Generic erosion; Change in Payer mix</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180A19D2" w14:textId="77777777" w:rsidR="00F30EBD" w:rsidRPr="00F30EBD" w:rsidRDefault="00F30EBD" w:rsidP="00F30EBD">
            <w:pPr>
              <w:rPr>
                <w:rFonts w:ascii="Georgia" w:hAnsi="Georgia"/>
              </w:rPr>
            </w:pPr>
            <w:r w:rsidRPr="00F30EBD">
              <w:rPr>
                <w:rFonts w:ascii="Georgia" w:hAnsi="Georgia"/>
              </w:rPr>
              <w:t>Strategic-watch function; Competitor ADCs pipelines monitoring; Licensing &amp; Partnering office; ADCs in-line lifecycle management; Board-level Portfolio Governance Committee</w:t>
            </w:r>
          </w:p>
        </w:tc>
      </w:tr>
      <w:tr w:rsidR="00F30EBD" w:rsidRPr="00F30EBD" w14:paraId="734C577D" w14:textId="77777777" w:rsidTr="00010468">
        <w:trPr>
          <w:trHeight w:val="1449"/>
        </w:trPr>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436CE2A" w14:textId="77777777" w:rsidR="00F30EBD" w:rsidRPr="00F30EBD" w:rsidRDefault="00F30EBD" w:rsidP="00F30EBD">
            <w:pPr>
              <w:rPr>
                <w:rFonts w:ascii="Georgia" w:hAnsi="Georgia"/>
              </w:rPr>
            </w:pPr>
            <w:r w:rsidRPr="00F30EBD">
              <w:rPr>
                <w:rFonts w:ascii="Georgia" w:hAnsi="Georgia"/>
              </w:rPr>
              <w:t>People and talent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58FCA78" w14:textId="77777777" w:rsidR="00F30EBD" w:rsidRPr="00F30EBD" w:rsidRDefault="00F30EBD" w:rsidP="00F30EBD">
            <w:pPr>
              <w:rPr>
                <w:rFonts w:ascii="Georgia" w:hAnsi="Georgia"/>
              </w:rPr>
            </w:pPr>
            <w:r w:rsidRPr="00F30EBD">
              <w:rPr>
                <w:rFonts w:ascii="Georgia" w:hAnsi="Georgia"/>
              </w:rPr>
              <w:t>Loss of key personnel; Integration cultural clash; shortage of talent in oncology</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385733B0" w14:textId="77777777" w:rsidR="00F30EBD" w:rsidRPr="00F30EBD" w:rsidRDefault="00F30EBD" w:rsidP="00F30EBD">
            <w:pPr>
              <w:rPr>
                <w:rFonts w:ascii="Georgia" w:hAnsi="Georgia"/>
              </w:rPr>
            </w:pPr>
            <w:r w:rsidRPr="00F30EBD">
              <w:rPr>
                <w:rFonts w:ascii="Georgia" w:hAnsi="Georgia"/>
              </w:rPr>
              <w:t>Retention and Equity programs; Succession plans for key functions; cultural integration working teams; investment in ADC science learning &amp; development</w:t>
            </w:r>
          </w:p>
          <w:p w14:paraId="0466B577" w14:textId="77777777" w:rsidR="00F30EBD" w:rsidRPr="00F30EBD" w:rsidRDefault="00F30EBD" w:rsidP="00F30EBD">
            <w:pPr>
              <w:rPr>
                <w:rFonts w:ascii="Georgia" w:hAnsi="Georgia"/>
              </w:rPr>
            </w:pPr>
          </w:p>
        </w:tc>
      </w:tr>
      <w:tr w:rsidR="00F30EBD" w:rsidRPr="00F30EBD" w14:paraId="1C8BEE4C" w14:textId="77777777" w:rsidTr="00010468">
        <w:tc>
          <w:tcPr>
            <w:tcW w:w="2977"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52C55EA1" w14:textId="77777777" w:rsidR="00F30EBD" w:rsidRPr="00F30EBD" w:rsidRDefault="00F30EBD" w:rsidP="00F30EBD">
            <w:pPr>
              <w:rPr>
                <w:rFonts w:ascii="Georgia" w:hAnsi="Georgia"/>
              </w:rPr>
            </w:pPr>
            <w:r w:rsidRPr="00F30EBD">
              <w:rPr>
                <w:rFonts w:ascii="Georgia" w:hAnsi="Georgia"/>
              </w:rPr>
              <w:t>Compliance, legal and ESG risk</w:t>
            </w:r>
          </w:p>
        </w:tc>
        <w:tc>
          <w:tcPr>
            <w:tcW w:w="3827"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8CC2904" w14:textId="77777777" w:rsidR="00F30EBD" w:rsidRPr="00F30EBD" w:rsidRDefault="00F30EBD" w:rsidP="00F30EBD">
            <w:pPr>
              <w:rPr>
                <w:rFonts w:ascii="Georgia" w:hAnsi="Georgia"/>
              </w:rPr>
            </w:pPr>
            <w:r w:rsidRPr="00F30EBD">
              <w:rPr>
                <w:rFonts w:ascii="Georgia" w:hAnsi="Georgia"/>
              </w:rPr>
              <w:t>FTC/antitrust review; product liability; anti-bribery (FCPA); patient access/ESG standards</w:t>
            </w:r>
          </w:p>
        </w:tc>
        <w:tc>
          <w:tcPr>
            <w:tcW w:w="5016"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B4E792F" w14:textId="77777777" w:rsidR="00F30EBD" w:rsidRPr="00F30EBD" w:rsidRDefault="00F30EBD" w:rsidP="00F30EBD">
            <w:pPr>
              <w:rPr>
                <w:rFonts w:ascii="Georgia" w:hAnsi="Georgia"/>
              </w:rPr>
            </w:pPr>
            <w:r w:rsidRPr="00F30EBD">
              <w:rPr>
                <w:rFonts w:ascii="Georgia" w:hAnsi="Georgia"/>
              </w:rPr>
              <w:t>Compliance Committee review and reporting; pre-clearance of high-risk markets; enhanced internal audit coverage; ESG disclosure with SASB and TCFD alignment; Board Risk Committee review</w:t>
            </w:r>
          </w:p>
        </w:tc>
      </w:tr>
    </w:tbl>
    <w:p w14:paraId="16A1CB94" w14:textId="77777777" w:rsidR="00935536" w:rsidRPr="00F30EBD" w:rsidRDefault="00935536" w:rsidP="00F30EBD">
      <w:pPr>
        <w:rPr>
          <w:rFonts w:ascii="Georgia" w:hAnsi="Georgia"/>
          <w:i/>
          <w:iCs/>
          <w:sz w:val="18"/>
          <w:szCs w:val="18"/>
        </w:rPr>
      </w:pPr>
    </w:p>
    <w:p w14:paraId="3CA17AF9" w14:textId="36097DF3" w:rsidR="00935536" w:rsidRDefault="00935536" w:rsidP="00935536">
      <w:pPr>
        <w:pStyle w:val="ListParagraph"/>
        <w:rPr>
          <w:rFonts w:ascii="Georgia" w:hAnsi="Georgia"/>
          <w:b/>
          <w:bCs/>
          <w:sz w:val="32"/>
          <w:szCs w:val="32"/>
        </w:rPr>
      </w:pPr>
    </w:p>
    <w:p w14:paraId="2531B177" w14:textId="7E71E211" w:rsidR="00A813E4" w:rsidRDefault="00A813E4" w:rsidP="00935536">
      <w:pPr>
        <w:pStyle w:val="ListParagraph"/>
        <w:rPr>
          <w:rFonts w:ascii="Georgia" w:hAnsi="Georgia"/>
          <w:b/>
          <w:bCs/>
          <w:sz w:val="32"/>
          <w:szCs w:val="32"/>
        </w:rPr>
      </w:pPr>
    </w:p>
    <w:p w14:paraId="71FA9D16" w14:textId="4BEC9D1F" w:rsidR="00A813E4" w:rsidRDefault="00A813E4" w:rsidP="00935536">
      <w:pPr>
        <w:pStyle w:val="ListParagraph"/>
        <w:rPr>
          <w:rFonts w:ascii="Georgia" w:hAnsi="Georgia"/>
          <w:b/>
          <w:bCs/>
          <w:sz w:val="32"/>
          <w:szCs w:val="32"/>
        </w:rPr>
      </w:pPr>
    </w:p>
    <w:p w14:paraId="4F5487BA" w14:textId="77777777" w:rsidR="0013350C" w:rsidRDefault="0013350C" w:rsidP="00935536">
      <w:pPr>
        <w:pStyle w:val="ListParagraph"/>
        <w:rPr>
          <w:rFonts w:ascii="Georgia" w:hAnsi="Georgia"/>
          <w:b/>
          <w:bCs/>
          <w:sz w:val="32"/>
          <w:szCs w:val="32"/>
        </w:rPr>
      </w:pPr>
    </w:p>
    <w:p w14:paraId="57319360" w14:textId="77777777" w:rsidR="00A813E4" w:rsidRPr="00D85B19" w:rsidRDefault="00A813E4" w:rsidP="00935536">
      <w:pPr>
        <w:pStyle w:val="ListParagraph"/>
        <w:rPr>
          <w:rFonts w:ascii="Georgia" w:hAnsi="Georgia"/>
          <w:b/>
          <w:bCs/>
          <w:sz w:val="32"/>
          <w:szCs w:val="32"/>
        </w:rPr>
      </w:pPr>
    </w:p>
    <w:p w14:paraId="72041C3E" w14:textId="04B0A71D" w:rsidR="00D85B19" w:rsidRPr="00935536" w:rsidRDefault="00D85B19" w:rsidP="00935536">
      <w:pPr>
        <w:pStyle w:val="ListParagraph"/>
        <w:numPr>
          <w:ilvl w:val="0"/>
          <w:numId w:val="1"/>
        </w:numPr>
        <w:rPr>
          <w:rFonts w:ascii="Georgia" w:hAnsi="Georgia"/>
          <w:b/>
          <w:bCs/>
          <w:sz w:val="32"/>
          <w:szCs w:val="32"/>
        </w:rPr>
      </w:pPr>
      <w:r w:rsidRPr="00935536">
        <w:rPr>
          <w:rFonts w:ascii="Georgia" w:hAnsi="Georgia"/>
          <w:b/>
          <w:bCs/>
          <w:sz w:val="32"/>
          <w:szCs w:val="32"/>
        </w:rPr>
        <w:lastRenderedPageBreak/>
        <w:t>Technical Risk and Information</w:t>
      </w:r>
      <w:r w:rsidR="00376F11">
        <w:rPr>
          <w:rFonts w:ascii="Georgia" w:hAnsi="Georgia"/>
          <w:b/>
          <w:bCs/>
          <w:sz w:val="32"/>
          <w:szCs w:val="32"/>
        </w:rPr>
        <w:t>-</w:t>
      </w:r>
      <w:r w:rsidRPr="00935536">
        <w:rPr>
          <w:rFonts w:ascii="Georgia" w:hAnsi="Georgia"/>
          <w:b/>
          <w:bCs/>
          <w:sz w:val="32"/>
          <w:szCs w:val="32"/>
        </w:rPr>
        <w:t xml:space="preserve">Security Risk </w:t>
      </w:r>
    </w:p>
    <w:p w14:paraId="4E9D63A1" w14:textId="0D68369F"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495922A4" w14:textId="0C751A0C" w:rsidR="00D85B19" w:rsidRDefault="00D85B19" w:rsidP="00166959">
      <w:pPr>
        <w:pStyle w:val="ListParagraph"/>
        <w:spacing w:after="0"/>
        <w:ind w:left="426"/>
        <w:rPr>
          <w:rFonts w:ascii="Georgia" w:hAnsi="Georgia" w:cs="Geeza Pro"/>
        </w:rPr>
      </w:pPr>
      <w:r w:rsidRPr="00D85B19">
        <w:rPr>
          <w:rFonts w:ascii="Georgia" w:hAnsi="Georgia" w:cs="Geeza Pro"/>
        </w:rPr>
        <w:t>Technical risk and information security risk are highlighted separately because both are inherent to a pharma integration of this magnitude. Pfizer must integrate Seagen's CTMS, MES, ERP system, electronic lab notebooks, and ePHI database into Pfizer's platform without impacting GxP processes or disrupting FDA approvals of trials.</w:t>
      </w:r>
    </w:p>
    <w:p w14:paraId="2554994A" w14:textId="772F5049" w:rsidR="00D85B19" w:rsidRDefault="00D85B19" w:rsidP="00D85B19">
      <w:pPr>
        <w:spacing w:after="0"/>
        <w:rPr>
          <w:rFonts w:ascii="Georgia" w:hAnsi="Georgia"/>
        </w:rPr>
      </w:pPr>
    </w:p>
    <w:p w14:paraId="65330FF7" w14:textId="77777777" w:rsidR="00935536" w:rsidRDefault="00935536" w:rsidP="00D85B19">
      <w:pPr>
        <w:spacing w:after="0"/>
        <w:rPr>
          <w:rFonts w:ascii="Georgia" w:hAnsi="Georgia"/>
        </w:rPr>
      </w:pPr>
    </w:p>
    <w:p w14:paraId="74676447" w14:textId="38D1F39F"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t>Technical Risk</w:t>
      </w:r>
    </w:p>
    <w:p w14:paraId="4C454069" w14:textId="5F82DF25" w:rsidR="00935536" w:rsidRPr="00935536" w:rsidRDefault="00935536" w:rsidP="00935536">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Dike</w:t>
      </w:r>
    </w:p>
    <w:p w14:paraId="697BF067" w14:textId="3449CDAA" w:rsidR="00935536" w:rsidRPr="00A813E4" w:rsidRDefault="00DF026B" w:rsidP="00166959">
      <w:pPr>
        <w:pStyle w:val="ListParagraph"/>
        <w:spacing w:after="0"/>
        <w:ind w:left="426"/>
        <w:rPr>
          <w:rFonts w:ascii="Georgia" w:hAnsi="Georgia" w:cs="Geeza Pro"/>
          <w:lang w:eastAsia="zh-CN"/>
        </w:rPr>
      </w:pPr>
      <w:r>
        <w:rPr>
          <w:rFonts w:ascii="Georgia" w:hAnsi="Georgia" w:cs="Geeza Pro" w:hint="eastAsia"/>
          <w:lang w:eastAsia="zh-CN"/>
        </w:rPr>
        <w:t>Pfizer-Seagen acquisition has several major technical risks coming from integrating two different technology environments. Pfizer</w:t>
      </w:r>
      <w:r>
        <w:rPr>
          <w:rFonts w:ascii="Georgia" w:hAnsi="Georgia" w:cs="Geeza Pro"/>
          <w:lang w:eastAsia="zh-CN"/>
        </w:rPr>
        <w:t>’</w:t>
      </w:r>
      <w:r>
        <w:rPr>
          <w:rFonts w:ascii="Georgia" w:hAnsi="Georgia" w:cs="Geeza Pro" w:hint="eastAsia"/>
          <w:lang w:eastAsia="zh-CN"/>
        </w:rPr>
        <w:t>s SAP-based platforms must be connected with Seagen</w:t>
      </w:r>
      <w:r>
        <w:rPr>
          <w:rFonts w:ascii="Georgia" w:hAnsi="Georgia" w:cs="Geeza Pro"/>
          <w:lang w:eastAsia="zh-CN"/>
        </w:rPr>
        <w:t>’</w:t>
      </w:r>
      <w:r>
        <w:rPr>
          <w:rFonts w:ascii="Georgia" w:hAnsi="Georgia" w:cs="Geeza Pro" w:hint="eastAsia"/>
          <w:lang w:eastAsia="zh-CN"/>
        </w:rPr>
        <w:t xml:space="preserve">s existing systems. The process will give rise to issues such as legacy-system incompatibility, data-migration </w:t>
      </w:r>
      <w:r>
        <w:rPr>
          <w:rFonts w:ascii="Georgia" w:hAnsi="Georgia" w:cs="Geeza Pro"/>
          <w:lang w:eastAsia="zh-CN"/>
        </w:rPr>
        <w:t>errors</w:t>
      </w:r>
      <w:r>
        <w:rPr>
          <w:rFonts w:ascii="Georgia" w:hAnsi="Georgia" w:cs="Geeza Pro" w:hint="eastAsia"/>
          <w:lang w:eastAsia="zh-CN"/>
        </w:rPr>
        <w:t xml:space="preserve"> and downtime during </w:t>
      </w:r>
      <w:r>
        <w:rPr>
          <w:rFonts w:ascii="Georgia" w:hAnsi="Georgia" w:cs="Geeza Pro"/>
          <w:lang w:eastAsia="zh-CN"/>
        </w:rPr>
        <w:t>system</w:t>
      </w:r>
      <w:r>
        <w:rPr>
          <w:rFonts w:ascii="Georgia" w:hAnsi="Georgia" w:cs="Geeza Pro" w:hint="eastAsia"/>
          <w:lang w:eastAsia="zh-CN"/>
        </w:rPr>
        <w:t xml:space="preserve"> cutover. These issues could affect ongoing clinical trials. They would weaken data integrity under ALCOA+ standards. They may even lead to the loss of audit tri</w:t>
      </w:r>
      <w:r w:rsidR="009F7DB0">
        <w:rPr>
          <w:rFonts w:ascii="Georgia" w:hAnsi="Georgia" w:cs="Geeza Pro"/>
          <w:lang w:eastAsia="zh-CN"/>
        </w:rPr>
        <w:t xml:space="preserve">als </w:t>
      </w:r>
      <w:r>
        <w:rPr>
          <w:rFonts w:ascii="Georgia" w:hAnsi="Georgia" w:cs="Geeza Pro" w:hint="eastAsia"/>
          <w:lang w:eastAsia="zh-CN"/>
        </w:rPr>
        <w:t>required for 21 CFR Part 11 compliance. To manage these risks, Pfizer can use phased migration, run critical system</w:t>
      </w:r>
      <w:r w:rsidR="009F7DB0">
        <w:rPr>
          <w:rFonts w:ascii="Georgia" w:hAnsi="Georgia" w:cs="Geeza Pro"/>
          <w:lang w:eastAsia="zh-CN"/>
        </w:rPr>
        <w:t>s</w:t>
      </w:r>
      <w:r>
        <w:rPr>
          <w:rFonts w:ascii="Georgia" w:hAnsi="Georgia" w:cs="Geeza Pro" w:hint="eastAsia"/>
          <w:lang w:eastAsia="zh-CN"/>
        </w:rPr>
        <w:t xml:space="preserve"> in parallel and perform ITGC testing under SOX. Pfizer can also follow formal change-management governance and create system-retirement plans which is validated by Quality Assurance. </w:t>
      </w:r>
    </w:p>
    <w:p w14:paraId="4067E797" w14:textId="77777777" w:rsidR="00D85B19" w:rsidRPr="00D85B19" w:rsidRDefault="00D85B19" w:rsidP="00D85B19">
      <w:pPr>
        <w:pStyle w:val="ListParagraph"/>
        <w:ind w:left="1080"/>
        <w:rPr>
          <w:rFonts w:ascii="Georgia" w:hAnsi="Georgia"/>
          <w:b/>
          <w:bCs/>
          <w:sz w:val="28"/>
          <w:szCs w:val="28"/>
        </w:rPr>
      </w:pPr>
    </w:p>
    <w:p w14:paraId="7A7EFAC5" w14:textId="1BFC792E"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t>Information</w:t>
      </w:r>
      <w:r w:rsidR="009F7DB0">
        <w:rPr>
          <w:rFonts w:ascii="Georgia" w:hAnsi="Georgia"/>
          <w:b/>
          <w:bCs/>
          <w:sz w:val="28"/>
          <w:szCs w:val="28"/>
        </w:rPr>
        <w:t>-</w:t>
      </w:r>
      <w:r w:rsidRPr="00D85B19">
        <w:rPr>
          <w:rFonts w:ascii="Georgia" w:hAnsi="Georgia"/>
          <w:b/>
          <w:bCs/>
          <w:sz w:val="28"/>
          <w:szCs w:val="28"/>
        </w:rPr>
        <w:t>Security Risk</w:t>
      </w:r>
    </w:p>
    <w:p w14:paraId="788F0AEE" w14:textId="77777777" w:rsidR="005A6AD4" w:rsidRDefault="00935536" w:rsidP="005A6AD4">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Stella</w:t>
      </w:r>
    </w:p>
    <w:p w14:paraId="1AE12049" w14:textId="77777777" w:rsidR="001F2BFD" w:rsidRPr="001F2BFD" w:rsidRDefault="001F2BFD" w:rsidP="00166959">
      <w:pPr>
        <w:ind w:left="426"/>
        <w:rPr>
          <w:rFonts w:ascii="Georgia" w:hAnsi="Georgia"/>
        </w:rPr>
      </w:pPr>
      <w:r w:rsidRPr="001F2BFD">
        <w:rPr>
          <w:rFonts w:ascii="Georgia" w:hAnsi="Georgia"/>
        </w:rPr>
        <w:t>If there is one area where this integration cannot afford to move fast and figure things out later, it is the information security. Pharma M&amp;A is a known hunting ground for ransomware operators and nation-state actors, and the window between signing and full system integration is when companies are most exposed. In Pfizer and Seagen's case, the risk is not just operational the proprietary ADC linker-payload science that justified a $43 billion price tag is exactly the kind of asset that adversaries would target for IP exfiltration.</w:t>
      </w:r>
    </w:p>
    <w:p w14:paraId="49A06244" w14:textId="77777777" w:rsidR="001F2BFD" w:rsidRPr="001F2BFD" w:rsidRDefault="001F2BFD" w:rsidP="00166959">
      <w:pPr>
        <w:ind w:left="426"/>
        <w:rPr>
          <w:rFonts w:ascii="Georgia" w:hAnsi="Georgia"/>
        </w:rPr>
      </w:pPr>
      <w:r w:rsidRPr="001F2BFD">
        <w:rPr>
          <w:rFonts w:ascii="Georgia" w:hAnsi="Georgia"/>
        </w:rPr>
        <w:t>The specific risks here are mostly layered. There is the threat of ransomware hitting clinical or manufacturing systems mid-integration. There is the risk of ePHI exposure under both HIPAA and GDPR as patient data moves between environments. There is credential compromise as identity systems from two large organisations are consolidated. And there is the quieter but real risk of insider threats and elevated third-party exposure as Seagen's entire vendor ecosystem gets onboarded into Pfizer's risk perimeter.</w:t>
      </w:r>
    </w:p>
    <w:p w14:paraId="28E6AB10" w14:textId="77777777" w:rsidR="001F2BFD" w:rsidRPr="001F2BFD" w:rsidRDefault="001F2BFD" w:rsidP="00166959">
      <w:pPr>
        <w:ind w:left="426"/>
        <w:rPr>
          <w:rFonts w:ascii="Georgia" w:hAnsi="Georgia"/>
        </w:rPr>
      </w:pPr>
      <w:r w:rsidRPr="001F2BFD">
        <w:rPr>
          <w:rFonts w:ascii="Georgia" w:hAnsi="Georgia"/>
        </w:rPr>
        <w:lastRenderedPageBreak/>
        <w:t>Addressing these risks requires controls that are in place before integration begins, not after. Zero-trust network segmentation between legacy environments should hold until each connection is validated. Seagen's log sources need to feed into Pfizer's SOC from day one not after a few months of migration. Enforced multi-factor authentication and privileged access management are non-negotiable during identity consolidation. Third-party vendors inherited from Seagen need their own diligence cycle. And given how specific the M&amp;A threat scenarios are, tabletop exercises designed around breach-during-acquisition scenarios will be far more useful than generic incident response drills. Where personal data is being processed or transferred, Data Protection Impact Assessments should be completed proactively.</w:t>
      </w:r>
    </w:p>
    <w:p w14:paraId="2E0AE697" w14:textId="77777777" w:rsidR="00D85B19" w:rsidRDefault="00D85B19" w:rsidP="00D85B19">
      <w:pPr>
        <w:pStyle w:val="ListParagraph"/>
        <w:ind w:left="1080"/>
        <w:rPr>
          <w:rFonts w:ascii="Georgia" w:hAnsi="Georgia"/>
          <w:b/>
          <w:bCs/>
          <w:sz w:val="28"/>
          <w:szCs w:val="28"/>
        </w:rPr>
      </w:pPr>
    </w:p>
    <w:p w14:paraId="48647F60" w14:textId="72523269" w:rsid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Conclusion</w:t>
      </w:r>
    </w:p>
    <w:p w14:paraId="245C00B1" w14:textId="3C11096A" w:rsidR="00935536" w:rsidRDefault="00935536" w:rsidP="00935536">
      <w:pPr>
        <w:ind w:left="360"/>
        <w:rPr>
          <w:rFonts w:ascii="Georgia" w:hAnsi="Georgia"/>
          <w:i/>
          <w:iCs/>
          <w:sz w:val="18"/>
          <w:szCs w:val="18"/>
        </w:rPr>
      </w:pPr>
      <w:r w:rsidRPr="00935536">
        <w:rPr>
          <w:rFonts w:ascii="Georgia" w:hAnsi="Georgia"/>
          <w:i/>
          <w:iCs/>
          <w:sz w:val="18"/>
          <w:szCs w:val="18"/>
        </w:rPr>
        <w:t>Prepared by Stella</w:t>
      </w:r>
    </w:p>
    <w:p w14:paraId="2D6BDA03" w14:textId="77777777" w:rsidR="00431E2F" w:rsidRPr="00900E6A" w:rsidRDefault="00431E2F" w:rsidP="00166959">
      <w:pPr>
        <w:ind w:left="426"/>
        <w:rPr>
          <w:rFonts w:ascii="Georgia" w:hAnsi="Georgia"/>
        </w:rPr>
      </w:pPr>
      <w:r w:rsidRPr="00900E6A">
        <w:rPr>
          <w:rFonts w:ascii="Georgia" w:hAnsi="Georgia"/>
        </w:rPr>
        <w:t>On paper, the Pfizer Seagen deal makes sense. Pfizer needed to address a significant patent cliff, ADC technology is reshaping how oncology is practiced, and four in line medicines with growing revenue provided immediate commercial value alongside a pipeline of 60 programs. The strategic logic is hard to argue with.</w:t>
      </w:r>
    </w:p>
    <w:p w14:paraId="1D977989" w14:textId="5F107908" w:rsidR="00431E2F" w:rsidRPr="00900E6A" w:rsidRDefault="00431E2F" w:rsidP="00166959">
      <w:pPr>
        <w:ind w:left="426"/>
        <w:rPr>
          <w:rFonts w:ascii="Georgia" w:hAnsi="Georgia"/>
        </w:rPr>
      </w:pPr>
      <w:r w:rsidRPr="00900E6A">
        <w:rPr>
          <w:rFonts w:ascii="Georgia" w:hAnsi="Georgia"/>
        </w:rPr>
        <w:t>The harder question is execution. The risks that matter most here are not the ones that show up in a market analysis</w:t>
      </w:r>
      <w:r w:rsidR="009F7DB0">
        <w:rPr>
          <w:rFonts w:ascii="Georgia" w:hAnsi="Georgia"/>
        </w:rPr>
        <w:t xml:space="preserve">, </w:t>
      </w:r>
      <w:r w:rsidRPr="00900E6A">
        <w:rPr>
          <w:rFonts w:ascii="Georgia" w:hAnsi="Georgia"/>
        </w:rPr>
        <w:t xml:space="preserve">they are the internal ones: whether Seagen's ADC scientists stay, whether two very different </w:t>
      </w:r>
      <w:r w:rsidR="009F7DB0" w:rsidRPr="00900E6A">
        <w:rPr>
          <w:rFonts w:ascii="Georgia" w:hAnsi="Georgia"/>
        </w:rPr>
        <w:t>organizational</w:t>
      </w:r>
      <w:r w:rsidRPr="00900E6A">
        <w:rPr>
          <w:rFonts w:ascii="Georgia" w:hAnsi="Georgia"/>
        </w:rPr>
        <w:t xml:space="preserve"> cultures can be integrated without losing what made Seagen valuable, whether cybersecurity controls hold during a period of significant system exposure, and whether the $10 billion revenue projection survives the combined pressure of IRA pricing negotiations, intensifying ADC competition, and an FTC environment that is watching large pharma M&amp;A closely.</w:t>
      </w:r>
    </w:p>
    <w:p w14:paraId="571E4B71" w14:textId="77777777" w:rsidR="00431E2F" w:rsidRPr="00900E6A" w:rsidRDefault="00431E2F" w:rsidP="00166959">
      <w:pPr>
        <w:ind w:left="426"/>
        <w:rPr>
          <w:rFonts w:ascii="Georgia" w:hAnsi="Georgia"/>
        </w:rPr>
      </w:pPr>
      <w:r w:rsidRPr="00900E6A">
        <w:rPr>
          <w:rFonts w:ascii="Georgia" w:hAnsi="Georgia"/>
        </w:rPr>
        <w:t>What makes this SWOT analysis useful beyond the exercise itself is that it does not stop at identifying risks it connects them to measurable indicators and preliminary controls. The KRIs in Section 3 and the contributing factors and controls in Section 4 give the integration team something to actually monitor and act on. That is what ERM is supposed to do: not predict every bad outcome, but build the visibility and response capacity to catch problems early enough to course-correct. For a deal of this size and complexity, that kind of structured risk intelligence is not optional it is what determines whether the strategic thesis becomes realised value or an expensive lesson.</w:t>
      </w:r>
    </w:p>
    <w:p w14:paraId="74A307B6" w14:textId="77777777" w:rsidR="00431E2F" w:rsidRPr="00935536" w:rsidRDefault="00431E2F" w:rsidP="00166959">
      <w:pPr>
        <w:ind w:left="426"/>
        <w:rPr>
          <w:rFonts w:ascii="Georgia" w:hAnsi="Georgia"/>
          <w:i/>
          <w:iCs/>
          <w:sz w:val="18"/>
          <w:szCs w:val="18"/>
        </w:rPr>
      </w:pPr>
    </w:p>
    <w:p w14:paraId="5664EAB1" w14:textId="77777777" w:rsidR="00935536" w:rsidRPr="00935536" w:rsidRDefault="00935536" w:rsidP="00935536">
      <w:pPr>
        <w:ind w:left="360"/>
        <w:rPr>
          <w:rFonts w:ascii="Georgia" w:hAnsi="Georgia"/>
          <w:b/>
          <w:bCs/>
          <w:sz w:val="32"/>
          <w:szCs w:val="32"/>
        </w:rPr>
      </w:pPr>
    </w:p>
    <w:p w14:paraId="11850DC7" w14:textId="40A39ECD" w:rsidR="00D85B19" w:rsidRDefault="00D85B19" w:rsidP="00D85B19">
      <w:pPr>
        <w:rPr>
          <w:rFonts w:ascii="Georgia" w:hAnsi="Georgia"/>
          <w:b/>
          <w:bCs/>
          <w:sz w:val="32"/>
          <w:szCs w:val="32"/>
        </w:rPr>
      </w:pPr>
    </w:p>
    <w:p w14:paraId="600FF9CF" w14:textId="5D21608D" w:rsidR="00D85B19" w:rsidRDefault="00D85B19" w:rsidP="00F666A3">
      <w:pPr>
        <w:ind w:firstLine="360"/>
        <w:rPr>
          <w:rFonts w:ascii="Georgia" w:hAnsi="Georgia"/>
          <w:b/>
          <w:bCs/>
          <w:sz w:val="32"/>
          <w:szCs w:val="32"/>
        </w:rPr>
      </w:pPr>
      <w:r>
        <w:rPr>
          <w:rFonts w:ascii="Georgia" w:hAnsi="Georgia"/>
          <w:b/>
          <w:bCs/>
          <w:sz w:val="32"/>
          <w:szCs w:val="32"/>
        </w:rPr>
        <w:lastRenderedPageBreak/>
        <w:t>References</w:t>
      </w:r>
    </w:p>
    <w:p w14:paraId="0B480DBA" w14:textId="77777777" w:rsidR="00684BF1" w:rsidRPr="00684BF1" w:rsidRDefault="00684BF1" w:rsidP="007940A0">
      <w:pPr>
        <w:spacing w:line="480" w:lineRule="auto"/>
        <w:ind w:left="720" w:hanging="720"/>
        <w:rPr>
          <w:rFonts w:ascii="Georgia" w:hAnsi="Georgia" w:cs="Geeza Pro"/>
        </w:rPr>
      </w:pPr>
      <w:r w:rsidRPr="00684BF1">
        <w:rPr>
          <w:rFonts w:ascii="Georgia" w:hAnsi="Georgia" w:cs="Geeza Pro"/>
        </w:rPr>
        <w:t xml:space="preserve">AInvest. (2025, July 9). </w:t>
      </w:r>
      <w:r w:rsidRPr="00684BF1">
        <w:rPr>
          <w:rFonts w:ascii="Georgia" w:hAnsi="Georgia" w:cs="Geeza Pro"/>
          <w:i/>
          <w:iCs/>
        </w:rPr>
        <w:t>The ADC gold rush: How big pharma's strategic deals are shaping the future of cancer therapies</w:t>
      </w:r>
      <w:r w:rsidRPr="00684BF1">
        <w:rPr>
          <w:rFonts w:ascii="Georgia" w:hAnsi="Georgia" w:cs="Geeza Pro"/>
        </w:rPr>
        <w:t>. https://www.ainvest.com/news/adc-gold-rush-big-pharma-strategic-deals-shaping-future-cancer-therapies-2507/</w:t>
      </w:r>
    </w:p>
    <w:p w14:paraId="664348BF" w14:textId="77777777" w:rsidR="00684BF1" w:rsidRPr="00684BF1" w:rsidRDefault="00684BF1" w:rsidP="007940A0">
      <w:pPr>
        <w:spacing w:line="480" w:lineRule="auto"/>
        <w:ind w:left="720" w:hanging="720"/>
        <w:rPr>
          <w:rFonts w:ascii="Georgia" w:hAnsi="Georgia" w:cs="Geeza Pro"/>
        </w:rPr>
      </w:pPr>
      <w:r w:rsidRPr="00684BF1">
        <w:rPr>
          <w:rFonts w:ascii="Georgia" w:hAnsi="Georgia" w:cs="Geeza Pro"/>
        </w:rPr>
        <w:t xml:space="preserve">Fleisher, C. S., &amp; Bensoussan, B. E. (2015). </w:t>
      </w:r>
      <w:r w:rsidRPr="00684BF1">
        <w:rPr>
          <w:rFonts w:ascii="Georgia" w:hAnsi="Georgia" w:cs="Geeza Pro"/>
          <w:i/>
          <w:iCs/>
        </w:rPr>
        <w:t>Business and competitive analysis: Effective application of new and classic methods</w:t>
      </w:r>
      <w:r w:rsidRPr="00684BF1">
        <w:rPr>
          <w:rFonts w:ascii="Georgia" w:hAnsi="Georgia" w:cs="Geeza Pro"/>
        </w:rPr>
        <w:t xml:space="preserve"> (2nd ed.). Pearson Education.</w:t>
      </w:r>
    </w:p>
    <w:p w14:paraId="3E4ABFB9" w14:textId="77777777" w:rsidR="00684BF1" w:rsidRPr="00684BF1" w:rsidRDefault="00684BF1" w:rsidP="007940A0">
      <w:pPr>
        <w:spacing w:line="480" w:lineRule="auto"/>
        <w:ind w:left="720" w:hanging="720"/>
        <w:rPr>
          <w:rFonts w:ascii="Georgia" w:hAnsi="Georgia" w:cs="Geeza Pro"/>
        </w:rPr>
      </w:pPr>
      <w:r w:rsidRPr="00684BF1">
        <w:rPr>
          <w:rFonts w:ascii="Georgia" w:hAnsi="Georgia" w:cs="Geeza Pro"/>
        </w:rPr>
        <w:t xml:space="preserve">Liu, A. (2023, December 14). Done deal: Pfizer completes $43B acquisition of Seagen, doubling its oncology pipeline. </w:t>
      </w:r>
      <w:r w:rsidRPr="00684BF1">
        <w:rPr>
          <w:rFonts w:ascii="Georgia" w:hAnsi="Georgia" w:cs="Geeza Pro"/>
          <w:i/>
          <w:iCs/>
        </w:rPr>
        <w:t>Fierce Pharma</w:t>
      </w:r>
      <w:r w:rsidRPr="00684BF1">
        <w:rPr>
          <w:rFonts w:ascii="Georgia" w:hAnsi="Georgia" w:cs="Geeza Pro"/>
        </w:rPr>
        <w:t>. https://www.fiercepharma.com/pharma/done-deal-pfizer-completes-43b-acquisition-seagen-doubling-its-oncology-pipeline</w:t>
      </w:r>
    </w:p>
    <w:p w14:paraId="54A9EB1B" w14:textId="77777777" w:rsidR="00684BF1" w:rsidRPr="00684BF1" w:rsidRDefault="00684BF1" w:rsidP="007940A0">
      <w:pPr>
        <w:spacing w:line="480" w:lineRule="auto"/>
        <w:ind w:left="720" w:hanging="720"/>
        <w:rPr>
          <w:rFonts w:ascii="Georgia" w:hAnsi="Georgia" w:cs="Geeza Pro"/>
        </w:rPr>
      </w:pPr>
      <w:r w:rsidRPr="00684BF1">
        <w:rPr>
          <w:rFonts w:ascii="Georgia" w:hAnsi="Georgia" w:cs="Geeza Pro"/>
        </w:rPr>
        <w:t xml:space="preserve">Pfizer Inc. (2023, March 13). </w:t>
      </w:r>
      <w:r w:rsidRPr="00684BF1">
        <w:rPr>
          <w:rFonts w:ascii="Georgia" w:hAnsi="Georgia" w:cs="Geeza Pro"/>
          <w:i/>
          <w:iCs/>
        </w:rPr>
        <w:t>Pfizer invests $43 billion to battle cancer</w:t>
      </w:r>
      <w:r w:rsidRPr="00684BF1">
        <w:rPr>
          <w:rFonts w:ascii="Georgia" w:hAnsi="Georgia" w:cs="Geeza Pro"/>
        </w:rPr>
        <w:t xml:space="preserve"> [Press release]. https://www.pfizer.com/news/press-release/press-release-detail/pfizer-invests-43-billion-battle-cancer</w:t>
      </w:r>
    </w:p>
    <w:p w14:paraId="15AD4EEA" w14:textId="77777777" w:rsidR="00684BF1" w:rsidRPr="00684BF1" w:rsidRDefault="00684BF1" w:rsidP="007940A0">
      <w:pPr>
        <w:spacing w:line="480" w:lineRule="auto"/>
        <w:ind w:left="720" w:hanging="720"/>
        <w:rPr>
          <w:rFonts w:ascii="Georgia" w:hAnsi="Georgia" w:cs="Geeza Pro"/>
        </w:rPr>
      </w:pPr>
      <w:r w:rsidRPr="00684BF1">
        <w:rPr>
          <w:rFonts w:ascii="Georgia" w:hAnsi="Georgia" w:cs="Geeza Pro"/>
        </w:rPr>
        <w:t xml:space="preserve">Pfizer Inc. (2023, December 14). </w:t>
      </w:r>
      <w:r w:rsidRPr="00684BF1">
        <w:rPr>
          <w:rFonts w:ascii="Georgia" w:hAnsi="Georgia" w:cs="Geeza Pro"/>
          <w:i/>
          <w:iCs/>
        </w:rPr>
        <w:t>Pfizer completes acquisition of Seagen</w:t>
      </w:r>
      <w:r w:rsidRPr="00684BF1">
        <w:rPr>
          <w:rFonts w:ascii="Georgia" w:hAnsi="Georgia" w:cs="Geeza Pro"/>
        </w:rPr>
        <w:t xml:space="preserve"> [Press release]. https://www.pfizer.com/news/press-release/press-release-detail/pfizer-completes-acquisition-seagen</w:t>
      </w:r>
    </w:p>
    <w:p w14:paraId="6481E061" w14:textId="77777777" w:rsidR="00D85B19" w:rsidRPr="00D85B19" w:rsidRDefault="00D85B19" w:rsidP="00D85B19">
      <w:pPr>
        <w:rPr>
          <w:rFonts w:ascii="Georgia" w:hAnsi="Georgia"/>
          <w:b/>
          <w:bCs/>
          <w:sz w:val="32"/>
          <w:szCs w:val="32"/>
        </w:rPr>
      </w:pPr>
    </w:p>
    <w:sectPr w:rsidR="00D85B19" w:rsidRPr="00D85B19" w:rsidSect="004E0225">
      <w:pgSz w:w="15840" w:h="12240" w:orient="landscape" w:code="1"/>
      <w:pgMar w:top="1440" w:right="1440" w:bottom="1440" w:left="1440" w:header="58"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eza Pro">
    <w:panose1 w:val="02000400000000000000"/>
    <w:charset w:val="B2"/>
    <w:family w:val="auto"/>
    <w:pitch w:val="variable"/>
    <w:sig w:usb0="80002001" w:usb1="80000000" w:usb2="00000008" w:usb3="00000000" w:csb0="0000004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87D00"/>
    <w:multiLevelType w:val="multilevel"/>
    <w:tmpl w:val="984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473B"/>
    <w:multiLevelType w:val="multilevel"/>
    <w:tmpl w:val="699CFE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2D1E0ABF"/>
    <w:multiLevelType w:val="multilevel"/>
    <w:tmpl w:val="EBC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D1233"/>
    <w:multiLevelType w:val="hybridMultilevel"/>
    <w:tmpl w:val="E914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C4167F"/>
    <w:multiLevelType w:val="hybridMultilevel"/>
    <w:tmpl w:val="736C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593943"/>
    <w:multiLevelType w:val="multilevel"/>
    <w:tmpl w:val="E66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1271A"/>
    <w:multiLevelType w:val="hybridMultilevel"/>
    <w:tmpl w:val="ACDE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F41455"/>
    <w:multiLevelType w:val="hybridMultilevel"/>
    <w:tmpl w:val="A9CEB868"/>
    <w:lvl w:ilvl="0" w:tplc="04090001">
      <w:start w:val="1"/>
      <w:numFmt w:val="bullet"/>
      <w:lvlText w:val=""/>
      <w:lvlJc w:val="left"/>
      <w:pPr>
        <w:ind w:left="720" w:hanging="360"/>
      </w:pPr>
      <w:rPr>
        <w:rFonts w:ascii="Symbol" w:hAnsi="Symbol" w:hint="default"/>
      </w:rPr>
    </w:lvl>
    <w:lvl w:ilvl="1" w:tplc="F850DD4C">
      <w:numFmt w:val="bullet"/>
      <w:lvlText w:val="•"/>
      <w:lvlJc w:val="left"/>
      <w:pPr>
        <w:ind w:left="1800" w:hanging="72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3A206E"/>
    <w:multiLevelType w:val="hybridMultilevel"/>
    <w:tmpl w:val="CDE6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638001">
    <w:abstractNumId w:val="1"/>
  </w:num>
  <w:num w:numId="2" w16cid:durableId="778373983">
    <w:abstractNumId w:val="7"/>
  </w:num>
  <w:num w:numId="3" w16cid:durableId="1266695623">
    <w:abstractNumId w:val="3"/>
  </w:num>
  <w:num w:numId="4" w16cid:durableId="350492184">
    <w:abstractNumId w:val="4"/>
  </w:num>
  <w:num w:numId="5" w16cid:durableId="1617517773">
    <w:abstractNumId w:val="6"/>
  </w:num>
  <w:num w:numId="6" w16cid:durableId="2049523716">
    <w:abstractNumId w:val="0"/>
  </w:num>
  <w:num w:numId="7" w16cid:durableId="398989907">
    <w:abstractNumId w:val="2"/>
  </w:num>
  <w:num w:numId="8" w16cid:durableId="716780060">
    <w:abstractNumId w:val="5"/>
  </w:num>
  <w:num w:numId="9" w16cid:durableId="1127820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drawingGridHorizontalSpacing w:val="281"/>
  <w:drawingGridVerticalSpacing w:val="191"/>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25"/>
    <w:rsid w:val="00010468"/>
    <w:rsid w:val="0013350C"/>
    <w:rsid w:val="00166959"/>
    <w:rsid w:val="001F2BFD"/>
    <w:rsid w:val="00245FAC"/>
    <w:rsid w:val="00256D7C"/>
    <w:rsid w:val="0026472F"/>
    <w:rsid w:val="002A4845"/>
    <w:rsid w:val="002C5E6B"/>
    <w:rsid w:val="0030618D"/>
    <w:rsid w:val="00376F11"/>
    <w:rsid w:val="00431E2F"/>
    <w:rsid w:val="004E0225"/>
    <w:rsid w:val="004E2B89"/>
    <w:rsid w:val="005A6AD4"/>
    <w:rsid w:val="00684BF1"/>
    <w:rsid w:val="00720BB2"/>
    <w:rsid w:val="007940A0"/>
    <w:rsid w:val="00900E6A"/>
    <w:rsid w:val="00933C5B"/>
    <w:rsid w:val="00935536"/>
    <w:rsid w:val="009A0252"/>
    <w:rsid w:val="009B7EC7"/>
    <w:rsid w:val="009F7DB0"/>
    <w:rsid w:val="00A813E4"/>
    <w:rsid w:val="00A91E6B"/>
    <w:rsid w:val="00B22A53"/>
    <w:rsid w:val="00BC4366"/>
    <w:rsid w:val="00C0460D"/>
    <w:rsid w:val="00CB326C"/>
    <w:rsid w:val="00D049FB"/>
    <w:rsid w:val="00D831C5"/>
    <w:rsid w:val="00D85B19"/>
    <w:rsid w:val="00D91FDE"/>
    <w:rsid w:val="00DF026B"/>
    <w:rsid w:val="00F17FDD"/>
    <w:rsid w:val="00F30EBD"/>
    <w:rsid w:val="00F66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C4943"/>
  <w15:chartTrackingRefBased/>
  <w15:docId w15:val="{3B747234-C1F6-4A1A-83FC-EFAE56FB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D85B19"/>
    <w:pPr>
      <w:spacing w:before="200" w:after="120" w:line="240" w:lineRule="auto"/>
      <w:outlineLvl w:val="1"/>
    </w:pPr>
    <w:rPr>
      <w:rFonts w:ascii="Arial" w:eastAsia="Arial" w:hAnsi="Arial" w:cs="Arial"/>
      <w:b/>
      <w:bCs/>
      <w:color w:val="2E5395"/>
      <w:sz w:val="26"/>
      <w:szCs w:val="26"/>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460D"/>
    <w:pPr>
      <w:ind w:left="720"/>
      <w:contextualSpacing/>
    </w:pPr>
  </w:style>
  <w:style w:type="character" w:customStyle="1" w:styleId="Heading2Char">
    <w:name w:val="Heading 2 Char"/>
    <w:basedOn w:val="DefaultParagraphFont"/>
    <w:link w:val="Heading2"/>
    <w:uiPriority w:val="9"/>
    <w:rsid w:val="00D85B19"/>
    <w:rPr>
      <w:rFonts w:ascii="Arial" w:eastAsia="Arial" w:hAnsi="Arial" w:cs="Arial"/>
      <w:b/>
      <w:bCs/>
      <w:color w:val="2E5395"/>
      <w:sz w:val="26"/>
      <w:szCs w:val="26"/>
      <w:lang w:val="en-PH"/>
    </w:rPr>
  </w:style>
  <w:style w:type="character" w:customStyle="1" w:styleId="bg-green-100">
    <w:name w:val="bg-green-100"/>
    <w:basedOn w:val="DefaultParagraphFont"/>
    <w:rsid w:val="00F30EBD"/>
  </w:style>
  <w:style w:type="paragraph" w:customStyle="1" w:styleId="font-claude-response-body">
    <w:name w:val="font-claude-response-body"/>
    <w:basedOn w:val="Normal"/>
    <w:rsid w:val="00D049FB"/>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D049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494730">
      <w:bodyDiv w:val="1"/>
      <w:marLeft w:val="0"/>
      <w:marRight w:val="0"/>
      <w:marTop w:val="0"/>
      <w:marBottom w:val="0"/>
      <w:divBdr>
        <w:top w:val="none" w:sz="0" w:space="0" w:color="auto"/>
        <w:left w:val="none" w:sz="0" w:space="0" w:color="auto"/>
        <w:bottom w:val="none" w:sz="0" w:space="0" w:color="auto"/>
        <w:right w:val="none" w:sz="0" w:space="0" w:color="auto"/>
      </w:divBdr>
    </w:div>
    <w:div w:id="1526946207">
      <w:bodyDiv w:val="1"/>
      <w:marLeft w:val="0"/>
      <w:marRight w:val="0"/>
      <w:marTop w:val="0"/>
      <w:marBottom w:val="0"/>
      <w:divBdr>
        <w:top w:val="none" w:sz="0" w:space="0" w:color="auto"/>
        <w:left w:val="none" w:sz="0" w:space="0" w:color="auto"/>
        <w:bottom w:val="none" w:sz="0" w:space="0" w:color="auto"/>
        <w:right w:val="none" w:sz="0" w:space="0" w:color="auto"/>
      </w:divBdr>
      <w:divsChild>
        <w:div w:id="312223374">
          <w:marLeft w:val="0"/>
          <w:marRight w:val="0"/>
          <w:marTop w:val="0"/>
          <w:marBottom w:val="0"/>
          <w:divBdr>
            <w:top w:val="none" w:sz="0" w:space="0" w:color="auto"/>
            <w:left w:val="none" w:sz="0" w:space="0" w:color="auto"/>
            <w:bottom w:val="none" w:sz="0" w:space="0" w:color="auto"/>
            <w:right w:val="none" w:sz="0" w:space="0" w:color="auto"/>
          </w:divBdr>
          <w:divsChild>
            <w:div w:id="1323041579">
              <w:marLeft w:val="0"/>
              <w:marRight w:val="0"/>
              <w:marTop w:val="0"/>
              <w:marBottom w:val="0"/>
              <w:divBdr>
                <w:top w:val="none" w:sz="0" w:space="0" w:color="auto"/>
                <w:left w:val="none" w:sz="0" w:space="0" w:color="auto"/>
                <w:bottom w:val="none" w:sz="0" w:space="0" w:color="auto"/>
                <w:right w:val="none" w:sz="0" w:space="0" w:color="auto"/>
              </w:divBdr>
            </w:div>
          </w:divsChild>
        </w:div>
        <w:div w:id="1471479934">
          <w:marLeft w:val="0"/>
          <w:marRight w:val="0"/>
          <w:marTop w:val="0"/>
          <w:marBottom w:val="0"/>
          <w:divBdr>
            <w:top w:val="none" w:sz="0" w:space="0" w:color="auto"/>
            <w:left w:val="none" w:sz="0" w:space="0" w:color="auto"/>
            <w:bottom w:val="none" w:sz="0" w:space="0" w:color="auto"/>
            <w:right w:val="none" w:sz="0" w:space="0" w:color="auto"/>
          </w:divBdr>
          <w:divsChild>
            <w:div w:id="805438273">
              <w:marLeft w:val="0"/>
              <w:marRight w:val="0"/>
              <w:marTop w:val="0"/>
              <w:marBottom w:val="0"/>
              <w:divBdr>
                <w:top w:val="none" w:sz="0" w:space="0" w:color="auto"/>
                <w:left w:val="none" w:sz="0" w:space="0" w:color="auto"/>
                <w:bottom w:val="none" w:sz="0" w:space="0" w:color="auto"/>
                <w:right w:val="none" w:sz="0" w:space="0" w:color="auto"/>
              </w:divBdr>
            </w:div>
          </w:divsChild>
        </w:div>
        <w:div w:id="1332835996">
          <w:marLeft w:val="0"/>
          <w:marRight w:val="0"/>
          <w:marTop w:val="0"/>
          <w:marBottom w:val="0"/>
          <w:divBdr>
            <w:top w:val="none" w:sz="0" w:space="0" w:color="auto"/>
            <w:left w:val="none" w:sz="0" w:space="0" w:color="auto"/>
            <w:bottom w:val="none" w:sz="0" w:space="0" w:color="auto"/>
            <w:right w:val="none" w:sz="0" w:space="0" w:color="auto"/>
          </w:divBdr>
          <w:divsChild>
            <w:div w:id="9761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580B8D9D5C8479EB29463B3488F37" ma:contentTypeVersion="42" ma:contentTypeDescription="Create a new document." ma:contentTypeScope="" ma:versionID="69069ed5fe7b373630cc1ed640b4412c">
  <xsd:schema xmlns:xsd="http://www.w3.org/2001/XMLSchema" xmlns:xs="http://www.w3.org/2001/XMLSchema" xmlns:p="http://schemas.microsoft.com/office/2006/metadata/properties" xmlns:ns1="http://schemas.microsoft.com/sharepoint/v3" xmlns:ns3="2ce5a41f-70b1-4141-9727-236556690c4c" xmlns:ns4="a323f3c1-1107-402b-9567-903e45c352ff" targetNamespace="http://schemas.microsoft.com/office/2006/metadata/properties" ma:root="true" ma:fieldsID="214e89828cac9c05164b01a359f64201" ns1:_="" ns3:_="" ns4:_="">
    <xsd:import namespace="http://schemas.microsoft.com/sharepoint/v3"/>
    <xsd:import namespace="2ce5a41f-70b1-4141-9727-236556690c4c"/>
    <xsd:import namespace="a323f3c1-1107-402b-9567-903e45c352ff"/>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e5a41f-70b1-4141-9727-236556690c4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NotebookType" ma:index="23" nillable="true" ma:displayName="Notebook Type" ma:internalName="NotebookType">
      <xsd:simpleType>
        <xsd:restriction base="dms:Text"/>
      </xsd:simpleType>
    </xsd:element>
    <xsd:element name="FolderType" ma:index="24" nillable="true" ma:displayName="Folder Type" ma:internalName="FolderType">
      <xsd:simpleType>
        <xsd:restriction base="dms:Text"/>
      </xsd:simpleType>
    </xsd:element>
    <xsd:element name="CultureName" ma:index="25" nillable="true" ma:displayName="Culture Name" ma:internalName="CultureName">
      <xsd:simpleType>
        <xsd:restriction base="dms:Text"/>
      </xsd:simpleType>
    </xsd:element>
    <xsd:element name="AppVersion" ma:index="26" nillable="true" ma:displayName="App Version" ma:internalName="AppVersion">
      <xsd:simpleType>
        <xsd:restriction base="dms:Text"/>
      </xsd:simpleType>
    </xsd:element>
    <xsd:element name="TeamsChannelId" ma:index="27" nillable="true" ma:displayName="Teams Channel Id" ma:internalName="TeamsChannelId">
      <xsd:simpleType>
        <xsd:restriction base="dms:Text"/>
      </xsd:simpleType>
    </xsd:element>
    <xsd:element name="Owner" ma:index="2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9" nillable="true" ma:displayName="Math Settings" ma:internalName="Math_Settings">
      <xsd:simpleType>
        <xsd:restriction base="dms:Text"/>
      </xsd:simpleType>
    </xsd:element>
    <xsd:element name="DefaultSectionNames" ma:index="30" nillable="true" ma:displayName="Default Section Names" ma:internalName="DefaultSectionNames">
      <xsd:simpleType>
        <xsd:restriction base="dms:Note">
          <xsd:maxLength value="255"/>
        </xsd:restriction>
      </xsd:simpleType>
    </xsd:element>
    <xsd:element name="Templates" ma:index="31" nillable="true" ma:displayName="Templates" ma:internalName="Templates">
      <xsd:simpleType>
        <xsd:restriction base="dms:Note">
          <xsd:maxLength value="255"/>
        </xsd:restriction>
      </xsd:simpleType>
    </xsd:element>
    <xsd:element name="Teachers" ma:index="3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nvited_Teachers" ma:index="37" nillable="true" ma:displayName="Invited Teachers" ma:internalName="Invited_Teachers">
      <xsd:simpleType>
        <xsd:restriction base="dms:Note">
          <xsd:maxLength value="255"/>
        </xsd:restriction>
      </xsd:simpleType>
    </xsd:element>
    <xsd:element name="Invited_Students" ma:index="38" nillable="true" ma:displayName="Invited Students" ma:internalName="Invited_Students">
      <xsd:simpleType>
        <xsd:restriction base="dms:Note">
          <xsd:maxLength value="255"/>
        </xsd:restriction>
      </xsd:simpleType>
    </xsd:element>
    <xsd:element name="Self_Registration_Enabled" ma:index="39" nillable="true" ma:displayName="Self Registration Enabled" ma:internalName="Self_Registration_Enabled">
      <xsd:simpleType>
        <xsd:restriction base="dms:Boolean"/>
      </xsd:simpleType>
    </xsd:element>
    <xsd:element name="Has_Teacher_Only_SectionGroup" ma:index="40" nillable="true" ma:displayName="Has Teacher Only SectionGroup" ma:internalName="Has_Teacher_Only_SectionGroup">
      <xsd:simpleType>
        <xsd:restriction base="dms:Boolean"/>
      </xsd:simpleType>
    </xsd:element>
    <xsd:element name="Is_Collaboration_Space_Locked" ma:index="41" nillable="true" ma:displayName="Is Collaboration Space Locked" ma:internalName="Is_Collaboration_Space_Locked">
      <xsd:simpleType>
        <xsd:restriction base="dms:Boolean"/>
      </xsd:simpleType>
    </xsd:element>
    <xsd:element name="IsNotebookLocked" ma:index="42" nillable="true" ma:displayName="Is Notebook Locked" ma:internalName="IsNotebookLocked">
      <xsd:simpleType>
        <xsd:restriction base="dms:Boolean"/>
      </xsd:simpleType>
    </xsd:element>
    <xsd:element name="Leaders" ma:index="43"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4"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5"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6" nillable="true" ma:displayName="Invited Leaders" ma:internalName="Invited_Leaders">
      <xsd:simpleType>
        <xsd:restriction base="dms:Note">
          <xsd:maxLength value="255"/>
        </xsd:restriction>
      </xsd:simpleType>
    </xsd:element>
    <xsd:element name="Invited_Members" ma:index="47" nillable="true" ma:displayName="Invited Members" ma:internalName="Invited_Members">
      <xsd:simpleType>
        <xsd:restriction base="dms:Note">
          <xsd:maxLength value="255"/>
        </xsd:restriction>
      </xsd:simpleType>
    </xsd:element>
    <xsd:element name="Has_Leaders_Only_SectionGroup" ma:index="48" nillable="true" ma:displayName="Has Leaders Only SectionGroup" ma:internalName="Has_Leaders_Only_SectionGroup">
      <xsd:simpleType>
        <xsd:restriction base="dms:Boolean"/>
      </xsd:simpleType>
    </xsd:element>
    <xsd:element name="Teams_Channel_Section_Location" ma:index="49"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23f3c1-1107-402b-9567-903e45c352f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2ce5a41f-70b1-4141-9727-236556690c4c" xsi:nil="true"/>
    <Owner xmlns="2ce5a41f-70b1-4141-9727-236556690c4c">
      <UserInfo>
        <DisplayName/>
        <AccountId xsi:nil="true"/>
        <AccountType/>
      </UserInfo>
    </Owner>
    <Students xmlns="2ce5a41f-70b1-4141-9727-236556690c4c">
      <UserInfo>
        <DisplayName/>
        <AccountId xsi:nil="true"/>
        <AccountType/>
      </UserInfo>
    </Students>
    <Distribution_Groups xmlns="2ce5a41f-70b1-4141-9727-236556690c4c" xsi:nil="true"/>
    <Leaders xmlns="2ce5a41f-70b1-4141-9727-236556690c4c">
      <UserInfo>
        <DisplayName/>
        <AccountId xsi:nil="true"/>
        <AccountType/>
      </UserInfo>
    </Leaders>
    <_ip_UnifiedCompliancePolicyUIAction xmlns="http://schemas.microsoft.com/sharepoint/v3" xsi:nil="true"/>
    <TeamsChannelId xmlns="2ce5a41f-70b1-4141-9727-236556690c4c" xsi:nil="true"/>
    <NotebookType xmlns="2ce5a41f-70b1-4141-9727-236556690c4c" xsi:nil="true"/>
    <Has_Teacher_Only_SectionGroup xmlns="2ce5a41f-70b1-4141-9727-236556690c4c" xsi:nil="true"/>
    <Members xmlns="2ce5a41f-70b1-4141-9727-236556690c4c">
      <UserInfo>
        <DisplayName/>
        <AccountId xsi:nil="true"/>
        <AccountType/>
      </UserInfo>
    </Members>
    <IsNotebookLocked xmlns="2ce5a41f-70b1-4141-9727-236556690c4c" xsi:nil="true"/>
    <Member_Groups xmlns="2ce5a41f-70b1-4141-9727-236556690c4c">
      <UserInfo>
        <DisplayName/>
        <AccountId xsi:nil="true"/>
        <AccountType/>
      </UserInfo>
    </Member_Groups>
    <Has_Leaders_Only_SectionGroup xmlns="2ce5a41f-70b1-4141-9727-236556690c4c" xsi:nil="true"/>
    <_ip_UnifiedCompliancePolicyProperties xmlns="http://schemas.microsoft.com/sharepoint/v3" xsi:nil="true"/>
    <Invited_Teachers xmlns="2ce5a41f-70b1-4141-9727-236556690c4c" xsi:nil="true"/>
    <Math_Settings xmlns="2ce5a41f-70b1-4141-9727-236556690c4c" xsi:nil="true"/>
    <Self_Registration_Enabled xmlns="2ce5a41f-70b1-4141-9727-236556690c4c" xsi:nil="true"/>
    <DefaultSectionNames xmlns="2ce5a41f-70b1-4141-9727-236556690c4c" xsi:nil="true"/>
    <Is_Collaboration_Space_Locked xmlns="2ce5a41f-70b1-4141-9727-236556690c4c" xsi:nil="true"/>
    <AppVersion xmlns="2ce5a41f-70b1-4141-9727-236556690c4c" xsi:nil="true"/>
    <LMS_Mappings xmlns="2ce5a41f-70b1-4141-9727-236556690c4c" xsi:nil="true"/>
    <Invited_Students xmlns="2ce5a41f-70b1-4141-9727-236556690c4c" xsi:nil="true"/>
    <FolderType xmlns="2ce5a41f-70b1-4141-9727-236556690c4c" xsi:nil="true"/>
    <Teachers xmlns="2ce5a41f-70b1-4141-9727-236556690c4c">
      <UserInfo>
        <DisplayName/>
        <AccountId xsi:nil="true"/>
        <AccountType/>
      </UserInfo>
    </Teachers>
    <Student_Groups xmlns="2ce5a41f-70b1-4141-9727-236556690c4c">
      <UserInfo>
        <DisplayName/>
        <AccountId xsi:nil="true"/>
        <AccountType/>
      </UserInfo>
    </Student_Groups>
    <Templates xmlns="2ce5a41f-70b1-4141-9727-236556690c4c" xsi:nil="true"/>
    <Invited_Members xmlns="2ce5a41f-70b1-4141-9727-236556690c4c" xsi:nil="true"/>
    <Teams_Channel_Section_Location xmlns="2ce5a41f-70b1-4141-9727-236556690c4c" xsi:nil="true"/>
    <Invited_Leaders xmlns="2ce5a41f-70b1-4141-9727-236556690c4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03DA-FC0E-4558-912B-F4CB2C51F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e5a41f-70b1-4141-9727-236556690c4c"/>
    <ds:schemaRef ds:uri="a323f3c1-1107-402b-9567-903e45c35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E91D2B-7F74-4998-98E4-348625E91A61}">
  <ds:schemaRefs>
    <ds:schemaRef ds:uri="http://schemas.microsoft.com/sharepoint/v3/contenttype/forms"/>
  </ds:schemaRefs>
</ds:datastoreItem>
</file>

<file path=customXml/itemProps3.xml><?xml version="1.0" encoding="utf-8"?>
<ds:datastoreItem xmlns:ds="http://schemas.openxmlformats.org/officeDocument/2006/customXml" ds:itemID="{D9F2AFE7-99DE-4268-BB6F-783C721105D3}">
  <ds:schemaRefs>
    <ds:schemaRef ds:uri="http://schemas.microsoft.com/office/2006/metadata/properties"/>
    <ds:schemaRef ds:uri="http://schemas.microsoft.com/office/infopath/2007/PartnerControls"/>
    <ds:schemaRef ds:uri="2ce5a41f-70b1-4141-9727-236556690c4c"/>
    <ds:schemaRef ds:uri="http://schemas.microsoft.com/sharepoint/v3"/>
  </ds:schemaRefs>
</ds:datastoreItem>
</file>

<file path=customXml/itemProps4.xml><?xml version="1.0" encoding="utf-8"?>
<ds:datastoreItem xmlns:ds="http://schemas.openxmlformats.org/officeDocument/2006/customXml" ds:itemID="{7898F51F-9A67-A147-9F40-0D9746470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Littlefield, Denise</dc:creator>
  <cp:keywords/>
  <dc:description/>
  <cp:lastModifiedBy>Cess Diaz</cp:lastModifiedBy>
  <cp:revision>28</cp:revision>
  <dcterms:created xsi:type="dcterms:W3CDTF">2021-08-10T17:50:00Z</dcterms:created>
  <dcterms:modified xsi:type="dcterms:W3CDTF">2026-05-27T19:04:00Z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0x0101009CB580B8D9D5C8479EB29463B3488F37</vt:lpwstr>
  </property>
</Properties>
</file>