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21A64" w:rsidRDefault="00000000">
      <w:pPr>
        <w:spacing w:after="80"/>
      </w:pPr>
      <w:r>
        <w:rPr>
          <w:b/>
          <w:bCs/>
          <w:color w:val="1F4E79"/>
          <w:sz w:val="32"/>
          <w:szCs w:val="32"/>
        </w:rPr>
        <w:t>W</w:t>
      </w:r>
      <w:r w:rsidR="004716ED">
        <w:rPr>
          <w:b/>
          <w:bCs/>
          <w:color w:val="1F4E79"/>
          <w:sz w:val="32"/>
          <w:szCs w:val="32"/>
        </w:rPr>
        <w:t xml:space="preserve">eek </w:t>
      </w:r>
      <w:r>
        <w:rPr>
          <w:b/>
          <w:bCs/>
          <w:color w:val="1F4E79"/>
          <w:sz w:val="32"/>
          <w:szCs w:val="32"/>
        </w:rPr>
        <w:t>2 In-Class Activity Risk Identification</w:t>
      </w:r>
    </w:p>
    <w:p w:rsidR="00621A64" w:rsidRDefault="00000000">
      <w:pPr>
        <w:spacing w:after="60"/>
      </w:pPr>
      <w:r>
        <w:rPr>
          <w:color w:val="595959"/>
          <w:sz w:val="20"/>
          <w:szCs w:val="20"/>
        </w:rPr>
        <w:t xml:space="preserve">Pfizer Inc. Acquisition of </w:t>
      </w:r>
      <w:proofErr w:type="spellStart"/>
      <w:r>
        <w:rPr>
          <w:color w:val="595959"/>
          <w:sz w:val="20"/>
          <w:szCs w:val="20"/>
        </w:rPr>
        <w:t>Seagen</w:t>
      </w:r>
      <w:proofErr w:type="spellEnd"/>
      <w:r>
        <w:rPr>
          <w:color w:val="595959"/>
          <w:sz w:val="20"/>
          <w:szCs w:val="20"/>
        </w:rPr>
        <w:t xml:space="preserve"> Inc. | ALY6130 Risk Management Analytics | June </w:t>
      </w:r>
      <w:r w:rsidR="004716ED">
        <w:rPr>
          <w:color w:val="595959"/>
          <w:sz w:val="20"/>
          <w:szCs w:val="20"/>
        </w:rPr>
        <w:t>1</w:t>
      </w:r>
      <w:r>
        <w:rPr>
          <w:color w:val="595959"/>
          <w:sz w:val="20"/>
          <w:szCs w:val="20"/>
        </w:rPr>
        <w:t>, 2026</w:t>
      </w:r>
    </w:p>
    <w:p w:rsidR="00621A64" w:rsidRDefault="00000000">
      <w:pPr>
        <w:spacing w:after="320"/>
      </w:pPr>
      <w:r>
        <w:rPr>
          <w:i/>
          <w:iCs/>
          <w:color w:val="595959"/>
          <w:sz w:val="20"/>
          <w:szCs w:val="20"/>
        </w:rPr>
        <w:t xml:space="preserve">Sections 4, 5, and 6  Prepared by Stella </w:t>
      </w:r>
      <w:proofErr w:type="spellStart"/>
      <w:r>
        <w:rPr>
          <w:i/>
          <w:iCs/>
          <w:color w:val="595959"/>
          <w:sz w:val="20"/>
          <w:szCs w:val="20"/>
        </w:rPr>
        <w:t>Kafui</w:t>
      </w:r>
      <w:proofErr w:type="spellEnd"/>
      <w:r>
        <w:rPr>
          <w:i/>
          <w:iCs/>
          <w:color w:val="595959"/>
          <w:sz w:val="20"/>
          <w:szCs w:val="20"/>
        </w:rPr>
        <w:t xml:space="preserve"> </w:t>
      </w:r>
      <w:proofErr w:type="spellStart"/>
      <w:r>
        <w:rPr>
          <w:i/>
          <w:iCs/>
          <w:color w:val="595959"/>
          <w:sz w:val="20"/>
          <w:szCs w:val="20"/>
        </w:rPr>
        <w:t>Sabuki</w:t>
      </w:r>
      <w:proofErr w:type="spellEnd"/>
    </w:p>
    <w:p w:rsidR="00621A64" w:rsidRDefault="00000000">
      <w:pPr>
        <w:pStyle w:val="Heading1"/>
      </w:pPr>
      <w:r>
        <w:t>4. ERM-Focused SWOT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7200"/>
      </w:tblGrid>
      <w:tr w:rsidR="00621A64">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621A64" w:rsidRDefault="00000000">
            <w:r>
              <w:rPr>
                <w:b/>
                <w:bCs/>
                <w:color w:val="FFFFFF"/>
                <w:sz w:val="18"/>
                <w:szCs w:val="18"/>
              </w:rPr>
              <w:t>SWOT Area</w:t>
            </w:r>
          </w:p>
        </w:tc>
        <w:tc>
          <w:tcPr>
            <w:tcW w:w="7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621A64" w:rsidRDefault="00000000">
            <w:r>
              <w:rPr>
                <w:b/>
                <w:bCs/>
                <w:color w:val="FFFFFF"/>
                <w:sz w:val="18"/>
                <w:szCs w:val="18"/>
              </w:rPr>
              <w:t>ERM-Focused Findings</w:t>
            </w:r>
          </w:p>
        </w:tc>
      </w:tr>
      <w:tr w:rsidR="00621A64">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1A64" w:rsidRDefault="00000000">
            <w:r>
              <w:rPr>
                <w:b/>
                <w:bCs/>
                <w:sz w:val="18"/>
                <w:szCs w:val="18"/>
              </w:rPr>
              <w:t>Strengths</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1A64" w:rsidRDefault="00000000">
            <w:r>
              <w:rPr>
                <w:sz w:val="18"/>
                <w:szCs w:val="18"/>
              </w:rPr>
              <w:t xml:space="preserve">When Pfizer closed the </w:t>
            </w:r>
            <w:proofErr w:type="spellStart"/>
            <w:r>
              <w:rPr>
                <w:sz w:val="18"/>
                <w:szCs w:val="18"/>
              </w:rPr>
              <w:t>Seagen</w:t>
            </w:r>
            <w:proofErr w:type="spellEnd"/>
            <w:r>
              <w:rPr>
                <w:sz w:val="18"/>
                <w:szCs w:val="18"/>
              </w:rPr>
              <w:t xml:space="preserve"> deal, it was not just buying four cancer medicines it was buying a platform. </w:t>
            </w:r>
            <w:proofErr w:type="spellStart"/>
            <w:r>
              <w:rPr>
                <w:sz w:val="18"/>
                <w:szCs w:val="18"/>
              </w:rPr>
              <w:t>Seagen</w:t>
            </w:r>
            <w:proofErr w:type="spellEnd"/>
            <w:r>
              <w:rPr>
                <w:sz w:val="18"/>
                <w:szCs w:val="18"/>
              </w:rPr>
              <w:t xml:space="preserve"> brought proven ADC technology, a pipeline that effectively doubled Pfizer's oncology programs to 60, and a track record in a space Pfizer had limited depth in. On top of that, Pfizer came to the table with global commercial reach, decades of regulatory experience, and mature pharmacovigilance and quality systems. From an ERM standpoint, those existing control structures are genuinely valuable but only if Pfizer can extend them to </w:t>
            </w:r>
            <w:proofErr w:type="spellStart"/>
            <w:r>
              <w:rPr>
                <w:sz w:val="18"/>
                <w:szCs w:val="18"/>
              </w:rPr>
              <w:t>Seagen's</w:t>
            </w:r>
            <w:proofErr w:type="spellEnd"/>
            <w:r>
              <w:rPr>
                <w:sz w:val="18"/>
                <w:szCs w:val="18"/>
              </w:rPr>
              <w:t xml:space="preserve"> operations without slowing down the science that made the acquisition worth $43 billion in the first place.</w:t>
            </w:r>
          </w:p>
        </w:tc>
      </w:tr>
      <w:tr w:rsidR="00621A64">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rsidR="00621A64" w:rsidRDefault="00000000">
            <w:r>
              <w:rPr>
                <w:b/>
                <w:bCs/>
                <w:sz w:val="18"/>
                <w:szCs w:val="18"/>
              </w:rPr>
              <w:t>Weaknesses</w:t>
            </w:r>
          </w:p>
        </w:tc>
        <w:tc>
          <w:tcPr>
            <w:tcW w:w="72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rsidR="00621A64" w:rsidRDefault="00000000">
            <w:r>
              <w:rPr>
                <w:sz w:val="18"/>
                <w:szCs w:val="18"/>
              </w:rPr>
              <w:t xml:space="preserve">The deal concentrates a lot of strategic weight on successful execution. Pfizer is leaning heavily on M&amp;A to offset the revenue it will lose as key products like Eliquis and </w:t>
            </w:r>
            <w:proofErr w:type="spellStart"/>
            <w:r>
              <w:rPr>
                <w:sz w:val="18"/>
                <w:szCs w:val="18"/>
              </w:rPr>
              <w:t>Ibrance</w:t>
            </w:r>
            <w:proofErr w:type="spellEnd"/>
            <w:r>
              <w:rPr>
                <w:sz w:val="18"/>
                <w:szCs w:val="18"/>
              </w:rPr>
              <w:t xml:space="preserve"> face patent cliffs, and if the integration stumbles, there is limited near-term organic fallback. At the same time, Pfizer is absorbing a highly specialized biotech while navigating its own post-COVID revenue pressure and a $4 billion cost-cutting program. The ERM concern here is straightforward: if integration moves too fast or becomes too centralized, Pfizer risks losing the ADC scientists whose expertise is the core asset, slowing clinical trials, or diluting the very technology it paid a premium to acquire.</w:t>
            </w:r>
          </w:p>
        </w:tc>
      </w:tr>
      <w:tr w:rsidR="00621A64">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1A64" w:rsidRDefault="00000000">
            <w:r>
              <w:rPr>
                <w:b/>
                <w:bCs/>
                <w:sz w:val="18"/>
                <w:szCs w:val="18"/>
              </w:rPr>
              <w:t>Opportunities</w:t>
            </w:r>
          </w:p>
        </w:tc>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1A64" w:rsidRDefault="00000000">
            <w:r>
              <w:rPr>
                <w:sz w:val="18"/>
                <w:szCs w:val="18"/>
              </w:rPr>
              <w:t xml:space="preserve">The commercial opportunity is real and near-term. Pfizer can use its established presence in 180+ countries to launch ADCETRIS, PADCEV, TIVDAK, and TUKYSA in markets where </w:t>
            </w:r>
            <w:proofErr w:type="spellStart"/>
            <w:r>
              <w:rPr>
                <w:sz w:val="18"/>
                <w:szCs w:val="18"/>
              </w:rPr>
              <w:t>Seagen</w:t>
            </w:r>
            <w:proofErr w:type="spellEnd"/>
            <w:r>
              <w:rPr>
                <w:sz w:val="18"/>
                <w:szCs w:val="18"/>
              </w:rPr>
              <w:t xml:space="preserve"> had little or no footprint. Beyond that, combining Pfizer's antibody and protein engineering capabilities with </w:t>
            </w:r>
            <w:proofErr w:type="spellStart"/>
            <w:r>
              <w:rPr>
                <w:sz w:val="18"/>
                <w:szCs w:val="18"/>
              </w:rPr>
              <w:t>Seagen's</w:t>
            </w:r>
            <w:proofErr w:type="spellEnd"/>
            <w:r>
              <w:rPr>
                <w:sz w:val="18"/>
                <w:szCs w:val="18"/>
              </w:rPr>
              <w:t xml:space="preserve"> linker-payload expertise opens the door to next-generation ADC combinations that neither company could have pursued independently. From an ERM perspective, capturing this upside is not automatic it requires measurable indicators around launch readiness, country-level revenue, trial starts, and synergy realization to make sure the opportunity is actually being converted into value.</w:t>
            </w:r>
          </w:p>
        </w:tc>
      </w:tr>
      <w:tr w:rsidR="00621A64">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rsidR="00621A64" w:rsidRDefault="00000000">
            <w:r>
              <w:rPr>
                <w:b/>
                <w:bCs/>
                <w:sz w:val="18"/>
                <w:szCs w:val="18"/>
              </w:rPr>
              <w:t>Threats</w:t>
            </w:r>
          </w:p>
        </w:tc>
        <w:tc>
          <w:tcPr>
            <w:tcW w:w="72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rsidR="00621A64" w:rsidRDefault="00000000">
            <w:r>
              <w:rPr>
                <w:sz w:val="18"/>
                <w:szCs w:val="18"/>
              </w:rPr>
              <w:t xml:space="preserve">The external environment is more challenging than it was when the deal was announced. Competitors have moved quickly: AbbVie spent $10.1 billion on </w:t>
            </w:r>
            <w:proofErr w:type="spellStart"/>
            <w:r>
              <w:rPr>
                <w:sz w:val="18"/>
                <w:szCs w:val="18"/>
              </w:rPr>
              <w:t>ImmunoGen</w:t>
            </w:r>
            <w:proofErr w:type="spellEnd"/>
            <w:r>
              <w:rPr>
                <w:sz w:val="18"/>
                <w:szCs w:val="18"/>
              </w:rPr>
              <w:t xml:space="preserve">, Merck committed over $4 billion to Daiichi Sankyo's ADC pipeline, and Gilead agreed to acquire </w:t>
            </w:r>
            <w:proofErr w:type="spellStart"/>
            <w:r>
              <w:rPr>
                <w:sz w:val="18"/>
                <w:szCs w:val="18"/>
              </w:rPr>
              <w:t>Tubulis</w:t>
            </w:r>
            <w:proofErr w:type="spellEnd"/>
            <w:r>
              <w:rPr>
                <w:sz w:val="18"/>
                <w:szCs w:val="18"/>
              </w:rPr>
              <w:t xml:space="preserve"> in 2026. Pfizer is now competing against well-resourced, increasingly specialized players in precision oncology a different competitive reality from its traditional markets. Layered on top of that are cybersecurity risks inherent to connecting two large enterprise environments, Medicare drug-price negotiation under the Inflation Reduction Act, and FTC scrutiny that signals large pharma M&amp;A is under a higher level of regulatory attention than it was a decade ago. Any one of these could reduce the financial return on the deal; together, they make early monitoring essential.</w:t>
            </w:r>
          </w:p>
        </w:tc>
      </w:tr>
    </w:tbl>
    <w:p w:rsidR="00621A64" w:rsidRDefault="00621A64">
      <w:pPr>
        <w:spacing w:after="240"/>
      </w:pPr>
    </w:p>
    <w:p w:rsidR="00621A64" w:rsidRDefault="00000000">
      <w:pPr>
        <w:pStyle w:val="Heading1"/>
      </w:pPr>
      <w:r>
        <w:t>5. Key Risk Indicators by Operational Element</w:t>
      </w:r>
    </w:p>
    <w:p w:rsidR="00621A64" w:rsidRDefault="00000000">
      <w:pPr>
        <w:spacing w:after="160"/>
      </w:pPr>
      <w:r>
        <w:rPr>
          <w:sz w:val="20"/>
          <w:szCs w:val="20"/>
        </w:rPr>
        <w:t xml:space="preserve">The KRIs below are designed as early-warning metrics they are meant to signal that a risk is growing before it causes real harm, not to confirm damage after the fact. The thresholds below are preliminary starting points and should be calibrated once Pfizer establishes baseline data from both legacy Pfizer and legacy </w:t>
      </w:r>
      <w:proofErr w:type="spellStart"/>
      <w:r>
        <w:rPr>
          <w:sz w:val="20"/>
          <w:szCs w:val="20"/>
        </w:rPr>
        <w:t>Seagen</w:t>
      </w:r>
      <w:proofErr w:type="spellEnd"/>
      <w:r>
        <w:rPr>
          <w:sz w:val="20"/>
          <w:szCs w:val="20"/>
        </w:rPr>
        <w:t xml:space="preserve">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6"/>
        <w:gridCol w:w="1429"/>
        <w:gridCol w:w="2363"/>
        <w:gridCol w:w="2210"/>
        <w:gridCol w:w="1174"/>
        <w:gridCol w:w="988"/>
      </w:tblGrid>
      <w:tr w:rsidR="00621A64">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621A64" w:rsidRDefault="00000000">
            <w:r>
              <w:rPr>
                <w:b/>
                <w:bCs/>
                <w:color w:val="FFFFFF"/>
                <w:sz w:val="16"/>
                <w:szCs w:val="16"/>
              </w:rPr>
              <w:t>Operational Element</w:t>
            </w:r>
          </w:p>
        </w:tc>
        <w:tc>
          <w:tcPr>
            <w:tcW w:w="14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621A64" w:rsidRDefault="00000000">
            <w:r>
              <w:rPr>
                <w:b/>
                <w:bCs/>
                <w:color w:val="FFFFFF"/>
                <w:sz w:val="16"/>
                <w:szCs w:val="16"/>
              </w:rPr>
              <w:t>Risk Area</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621A64" w:rsidRDefault="00000000">
            <w:r>
              <w:rPr>
                <w:b/>
                <w:bCs/>
                <w:color w:val="FFFFFF"/>
                <w:sz w:val="16"/>
                <w:szCs w:val="16"/>
              </w:rPr>
              <w:t>KRI</w:t>
            </w:r>
          </w:p>
        </w:tc>
        <w:tc>
          <w:tcPr>
            <w:tcW w:w="22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621A64" w:rsidRDefault="00000000">
            <w:r>
              <w:rPr>
                <w:b/>
                <w:bCs/>
                <w:color w:val="FFFFFF"/>
                <w:sz w:val="16"/>
                <w:szCs w:val="16"/>
              </w:rPr>
              <w:t>Preliminary Threshold</w:t>
            </w:r>
          </w:p>
        </w:tc>
        <w:tc>
          <w:tcPr>
            <w:tcW w:w="1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621A64" w:rsidRDefault="00000000">
            <w:r>
              <w:rPr>
                <w:b/>
                <w:bCs/>
                <w:color w:val="FFFFFF"/>
                <w:sz w:val="16"/>
                <w:szCs w:val="16"/>
              </w:rPr>
              <w:t>Owner</w:t>
            </w:r>
          </w:p>
        </w:tc>
        <w:tc>
          <w:tcPr>
            <w:tcW w:w="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621A64" w:rsidRDefault="00000000">
            <w:r>
              <w:rPr>
                <w:b/>
                <w:bCs/>
                <w:color w:val="FFFFFF"/>
                <w:sz w:val="16"/>
                <w:szCs w:val="16"/>
              </w:rPr>
              <w:t>Cadence</w:t>
            </w:r>
          </w:p>
        </w:tc>
      </w:tr>
      <w:tr w:rsidR="00621A64">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1A64" w:rsidRDefault="00000000">
            <w:r>
              <w:rPr>
                <w:sz w:val="16"/>
                <w:szCs w:val="16"/>
              </w:rPr>
              <w:t>People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1A64" w:rsidRDefault="00000000">
            <w:r>
              <w:rPr>
                <w:sz w:val="16"/>
                <w:szCs w:val="16"/>
              </w:rPr>
              <w:t>Critical ADC scientist and oncology leader attrition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1A64" w:rsidRDefault="00000000">
            <w:r>
              <w:rPr>
                <w:sz w:val="16"/>
                <w:szCs w:val="16"/>
              </w:rPr>
              <w:t>Trailing 90-day voluntary attrition rate for named critical roles</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1A64" w:rsidRDefault="00000000">
            <w:r>
              <w:rPr>
                <w:sz w:val="16"/>
                <w:szCs w:val="16"/>
              </w:rPr>
              <w:t>Green: ≤5%; Amber: &gt;5–10%; Red: &gt;10%</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1A64" w:rsidRDefault="00000000">
            <w:r>
              <w:rPr>
                <w:sz w:val="16"/>
                <w:szCs w:val="16"/>
              </w:rPr>
              <w:t>CHRO / Oncology R&amp;D</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1A64" w:rsidRDefault="00000000">
            <w:r>
              <w:rPr>
                <w:sz w:val="16"/>
                <w:szCs w:val="16"/>
              </w:rPr>
              <w:t>Monthly during integration</w:t>
            </w:r>
          </w:p>
        </w:tc>
      </w:tr>
      <w:tr w:rsidR="00621A64">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rsidR="00621A64" w:rsidRDefault="00000000">
            <w:r>
              <w:rPr>
                <w:sz w:val="16"/>
                <w:szCs w:val="16"/>
              </w:rPr>
              <w:lastRenderedPageBreak/>
              <w:t>People</w:t>
            </w:r>
          </w:p>
        </w:tc>
        <w:tc>
          <w:tcPr>
            <w:tcW w:w="144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rsidR="00621A64" w:rsidRDefault="00000000">
            <w:r>
              <w:rPr>
                <w:sz w:val="16"/>
                <w:szCs w:val="16"/>
              </w:rPr>
              <w:t>Talent availability</w:t>
            </w:r>
          </w:p>
        </w:tc>
        <w:tc>
          <w:tcPr>
            <w:tcW w:w="24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rsidR="00621A64" w:rsidRDefault="00000000">
            <w:r>
              <w:rPr>
                <w:sz w:val="16"/>
                <w:szCs w:val="16"/>
              </w:rPr>
              <w:t>Number of key ADC or oncology R&amp;D roles vacant for more than 60 days</w:t>
            </w:r>
          </w:p>
        </w:tc>
        <w:tc>
          <w:tcPr>
            <w:tcW w:w="228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rsidR="00621A64" w:rsidRDefault="00000000">
            <w:r>
              <w:rPr>
                <w:sz w:val="16"/>
                <w:szCs w:val="16"/>
              </w:rPr>
              <w:t>Green: 0–2; Amber: 3–5; Red: &gt;5</w:t>
            </w:r>
          </w:p>
        </w:tc>
        <w:tc>
          <w:tcPr>
            <w:tcW w:w="108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rsidR="00621A64" w:rsidRDefault="00000000">
            <w:r>
              <w:rPr>
                <w:sz w:val="16"/>
                <w:szCs w:val="16"/>
              </w:rPr>
              <w:t>CHRO / Oncology R&amp;D</w:t>
            </w:r>
          </w:p>
        </w:tc>
        <w:tc>
          <w:tcPr>
            <w:tcW w:w="96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rsidR="00621A64" w:rsidRDefault="00000000">
            <w:r>
              <w:rPr>
                <w:sz w:val="16"/>
                <w:szCs w:val="16"/>
              </w:rPr>
              <w:t>Monthly</w:t>
            </w:r>
          </w:p>
        </w:tc>
      </w:tr>
      <w:tr w:rsidR="00621A64">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1A64" w:rsidRDefault="00000000">
            <w:r>
              <w:rPr>
                <w:sz w:val="16"/>
                <w:szCs w:val="16"/>
              </w:rPr>
              <w:t>People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1A64" w:rsidRDefault="00000000">
            <w:r>
              <w:rPr>
                <w:sz w:val="16"/>
                <w:szCs w:val="16"/>
              </w:rPr>
              <w:t>Integration culture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1A64" w:rsidRDefault="00000000">
            <w:r>
              <w:rPr>
                <w:sz w:val="16"/>
                <w:szCs w:val="16"/>
              </w:rPr>
              <w:t>Integrated team engagement pulse score</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1A64" w:rsidRDefault="00000000">
            <w:r>
              <w:rPr>
                <w:sz w:val="16"/>
                <w:szCs w:val="16"/>
              </w:rPr>
              <w:t>Green: ≥75; Amber: 65–74; Red: &lt;65</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1A64" w:rsidRDefault="00000000">
            <w:r>
              <w:rPr>
                <w:sz w:val="16"/>
                <w:szCs w:val="16"/>
              </w:rPr>
              <w:t>CHRO / IMO</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1A64" w:rsidRDefault="00000000">
            <w:r>
              <w:rPr>
                <w:sz w:val="16"/>
                <w:szCs w:val="16"/>
              </w:rPr>
              <w:t>Quarterly</w:t>
            </w:r>
          </w:p>
        </w:tc>
      </w:tr>
      <w:tr w:rsidR="00621A64">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rsidR="00621A64" w:rsidRDefault="00000000">
            <w:r>
              <w:rPr>
                <w:sz w:val="16"/>
                <w:szCs w:val="16"/>
              </w:rPr>
              <w:t>Processes</w:t>
            </w:r>
          </w:p>
        </w:tc>
        <w:tc>
          <w:tcPr>
            <w:tcW w:w="144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rsidR="00621A64" w:rsidRDefault="00000000">
            <w:r>
              <w:rPr>
                <w:sz w:val="16"/>
                <w:szCs w:val="16"/>
              </w:rPr>
              <w:t>Integration execution</w:t>
            </w:r>
          </w:p>
        </w:tc>
        <w:tc>
          <w:tcPr>
            <w:tcW w:w="24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rsidR="00621A64" w:rsidRDefault="00000000">
            <w:r>
              <w:rPr>
                <w:sz w:val="16"/>
                <w:szCs w:val="16"/>
              </w:rPr>
              <w:t>Percentage of integration milestones late by more than 30 days</w:t>
            </w:r>
          </w:p>
        </w:tc>
        <w:tc>
          <w:tcPr>
            <w:tcW w:w="228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rsidR="00621A64" w:rsidRDefault="00000000">
            <w:r>
              <w:rPr>
                <w:sz w:val="16"/>
                <w:szCs w:val="16"/>
              </w:rPr>
              <w:t>Green: ≤5%; Amber: 6–15%; Red: &gt;15%</w:t>
            </w:r>
          </w:p>
        </w:tc>
        <w:tc>
          <w:tcPr>
            <w:tcW w:w="108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rsidR="00621A64" w:rsidRDefault="00000000">
            <w:r>
              <w:rPr>
                <w:sz w:val="16"/>
                <w:szCs w:val="16"/>
              </w:rPr>
              <w:t>Integration Management Office</w:t>
            </w:r>
          </w:p>
        </w:tc>
        <w:tc>
          <w:tcPr>
            <w:tcW w:w="96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rsidR="00621A64" w:rsidRDefault="00000000">
            <w:r>
              <w:rPr>
                <w:sz w:val="16"/>
                <w:szCs w:val="16"/>
              </w:rPr>
              <w:t>Monthly</w:t>
            </w:r>
          </w:p>
        </w:tc>
      </w:tr>
      <w:tr w:rsidR="00621A64">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1A64" w:rsidRDefault="00000000">
            <w:r>
              <w:rPr>
                <w:sz w:val="16"/>
                <w:szCs w:val="16"/>
              </w:rPr>
              <w:t>Processes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1A64" w:rsidRDefault="00000000">
            <w:r>
              <w:rPr>
                <w:sz w:val="16"/>
                <w:szCs w:val="16"/>
              </w:rPr>
              <w:t>Clinical execution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1A64" w:rsidRDefault="00000000">
            <w:r>
              <w:rPr>
                <w:sz w:val="16"/>
                <w:szCs w:val="16"/>
              </w:rPr>
              <w:t>Clinical protocol approval cycle time vs. pre-integration baseline</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1A64" w:rsidRDefault="00000000">
            <w:r>
              <w:rPr>
                <w:sz w:val="16"/>
                <w:szCs w:val="16"/>
              </w:rPr>
              <w:t>Green: ≤10% slower; Amber: 11–25%; Red: &gt;25%</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1A64" w:rsidRDefault="00000000">
            <w:r>
              <w:rPr>
                <w:sz w:val="16"/>
                <w:szCs w:val="16"/>
              </w:rPr>
              <w:t>Clinical Operations</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1A64" w:rsidRDefault="00000000">
            <w:r>
              <w:rPr>
                <w:sz w:val="16"/>
                <w:szCs w:val="16"/>
              </w:rPr>
              <w:t>Monthly</w:t>
            </w:r>
          </w:p>
        </w:tc>
      </w:tr>
      <w:tr w:rsidR="00621A64">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rsidR="00621A64" w:rsidRDefault="00000000">
            <w:r>
              <w:rPr>
                <w:sz w:val="16"/>
                <w:szCs w:val="16"/>
              </w:rPr>
              <w:t>Processes</w:t>
            </w:r>
          </w:p>
        </w:tc>
        <w:tc>
          <w:tcPr>
            <w:tcW w:w="144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rsidR="00621A64" w:rsidRDefault="00000000">
            <w:r>
              <w:rPr>
                <w:sz w:val="16"/>
                <w:szCs w:val="16"/>
              </w:rPr>
              <w:t>Quality compliance</w:t>
            </w:r>
          </w:p>
        </w:tc>
        <w:tc>
          <w:tcPr>
            <w:tcW w:w="24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rsidR="00621A64" w:rsidRDefault="00000000">
            <w:r>
              <w:rPr>
                <w:sz w:val="16"/>
                <w:szCs w:val="16"/>
              </w:rPr>
              <w:t xml:space="preserve">Critical/major </w:t>
            </w:r>
            <w:proofErr w:type="spellStart"/>
            <w:r>
              <w:rPr>
                <w:sz w:val="16"/>
                <w:szCs w:val="16"/>
              </w:rPr>
              <w:t>GxP</w:t>
            </w:r>
            <w:proofErr w:type="spellEnd"/>
            <w:r>
              <w:rPr>
                <w:sz w:val="16"/>
                <w:szCs w:val="16"/>
              </w:rPr>
              <w:t xml:space="preserve"> audit findings related to legacy </w:t>
            </w:r>
            <w:proofErr w:type="spellStart"/>
            <w:r>
              <w:rPr>
                <w:sz w:val="16"/>
                <w:szCs w:val="16"/>
              </w:rPr>
              <w:t>Seagen</w:t>
            </w:r>
            <w:proofErr w:type="spellEnd"/>
            <w:r>
              <w:rPr>
                <w:sz w:val="16"/>
                <w:szCs w:val="16"/>
              </w:rPr>
              <w:t xml:space="preserve"> operations</w:t>
            </w:r>
          </w:p>
        </w:tc>
        <w:tc>
          <w:tcPr>
            <w:tcW w:w="228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rsidR="00621A64" w:rsidRDefault="00000000">
            <w:r>
              <w:rPr>
                <w:sz w:val="16"/>
                <w:szCs w:val="16"/>
              </w:rPr>
              <w:t>Green: 0 critical, ≤2 major; Amber: 1 critical or 3–5 major; Red: &gt;1 critical or &gt;5 major</w:t>
            </w:r>
          </w:p>
        </w:tc>
        <w:tc>
          <w:tcPr>
            <w:tcW w:w="108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rsidR="00621A64" w:rsidRDefault="00000000">
            <w:r>
              <w:rPr>
                <w:sz w:val="16"/>
                <w:szCs w:val="16"/>
              </w:rPr>
              <w:t>Quality Assurance</w:t>
            </w:r>
          </w:p>
        </w:tc>
        <w:tc>
          <w:tcPr>
            <w:tcW w:w="96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rsidR="00621A64" w:rsidRDefault="00000000">
            <w:r>
              <w:rPr>
                <w:sz w:val="16"/>
                <w:szCs w:val="16"/>
              </w:rPr>
              <w:t>Quarterly</w:t>
            </w:r>
          </w:p>
        </w:tc>
      </w:tr>
      <w:tr w:rsidR="00621A64">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1A64" w:rsidRDefault="00000000">
            <w:r>
              <w:rPr>
                <w:sz w:val="16"/>
                <w:szCs w:val="16"/>
              </w:rPr>
              <w:t>Technology</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1A64" w:rsidRDefault="00000000">
            <w:r>
              <w:rPr>
                <w:sz w:val="16"/>
                <w:szCs w:val="16"/>
              </w:rPr>
              <w:t>Cyber hygiene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1A64" w:rsidRDefault="00000000">
            <w:r>
              <w:rPr>
                <w:sz w:val="16"/>
                <w:szCs w:val="16"/>
              </w:rPr>
              <w:t>Critical vulnerabilities open for more than 30 days in integrated environments</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1A64" w:rsidRDefault="00000000">
            <w:r>
              <w:rPr>
                <w:sz w:val="16"/>
                <w:szCs w:val="16"/>
              </w:rPr>
              <w:t>Green: 0; Amber: 1–3; Red: &gt;3</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1A64" w:rsidRDefault="00000000">
            <w:r>
              <w:rPr>
                <w:sz w:val="16"/>
                <w:szCs w:val="16"/>
              </w:rPr>
              <w:t>CISO / CIO</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1A64" w:rsidRDefault="00000000">
            <w:r>
              <w:rPr>
                <w:sz w:val="16"/>
                <w:szCs w:val="16"/>
              </w:rPr>
              <w:t>Weekly</w:t>
            </w:r>
          </w:p>
        </w:tc>
      </w:tr>
      <w:tr w:rsidR="00621A64">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rsidR="00621A64" w:rsidRDefault="00000000">
            <w:r>
              <w:rPr>
                <w:sz w:val="16"/>
                <w:szCs w:val="16"/>
              </w:rPr>
              <w:t>Technology</w:t>
            </w:r>
          </w:p>
        </w:tc>
        <w:tc>
          <w:tcPr>
            <w:tcW w:w="144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rsidR="00621A64" w:rsidRDefault="00000000">
            <w:r>
              <w:rPr>
                <w:sz w:val="16"/>
                <w:szCs w:val="16"/>
              </w:rPr>
              <w:t>Incident response</w:t>
            </w:r>
          </w:p>
        </w:tc>
        <w:tc>
          <w:tcPr>
            <w:tcW w:w="24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rsidR="00621A64" w:rsidRDefault="00000000">
            <w:r>
              <w:rPr>
                <w:sz w:val="16"/>
                <w:szCs w:val="16"/>
              </w:rPr>
              <w:t>Mean time to detect/respond to high-severity incidents</w:t>
            </w:r>
          </w:p>
        </w:tc>
        <w:tc>
          <w:tcPr>
            <w:tcW w:w="228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rsidR="00621A64" w:rsidRDefault="00000000">
            <w:r>
              <w:rPr>
                <w:sz w:val="16"/>
                <w:szCs w:val="16"/>
              </w:rPr>
              <w:t>Green: MTTD &lt;24h and MTTR &lt;72h; Amber: one metric misses target; Red: both miss</w:t>
            </w:r>
          </w:p>
        </w:tc>
        <w:tc>
          <w:tcPr>
            <w:tcW w:w="108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rsidR="00621A64" w:rsidRDefault="00000000">
            <w:r>
              <w:rPr>
                <w:sz w:val="16"/>
                <w:szCs w:val="16"/>
              </w:rPr>
              <w:t>CISO</w:t>
            </w:r>
          </w:p>
        </w:tc>
        <w:tc>
          <w:tcPr>
            <w:tcW w:w="96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rsidR="00621A64" w:rsidRDefault="00000000">
            <w:r>
              <w:rPr>
                <w:sz w:val="16"/>
                <w:szCs w:val="16"/>
              </w:rPr>
              <w:t>Monthly</w:t>
            </w:r>
          </w:p>
        </w:tc>
      </w:tr>
      <w:tr w:rsidR="00621A64">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1A64" w:rsidRDefault="00000000">
            <w:r>
              <w:rPr>
                <w:sz w:val="16"/>
                <w:szCs w:val="16"/>
              </w:rPr>
              <w:t>Technology</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1A64" w:rsidRDefault="00000000">
            <w:r>
              <w:rPr>
                <w:sz w:val="16"/>
                <w:szCs w:val="16"/>
              </w:rPr>
              <w:t>ePHI protection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1A64" w:rsidRDefault="00000000">
            <w:r>
              <w:rPr>
                <w:sz w:val="16"/>
                <w:szCs w:val="16"/>
              </w:rPr>
              <w:t>Unresolved anomalous ePHI access events per month</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1A64" w:rsidRDefault="00000000">
            <w:r>
              <w:rPr>
                <w:sz w:val="16"/>
                <w:szCs w:val="16"/>
              </w:rPr>
              <w:t>Green: &lt;3; Amber: 3–10; Red: &gt;10</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1A64" w:rsidRDefault="00000000">
            <w:r>
              <w:rPr>
                <w:sz w:val="16"/>
                <w:szCs w:val="16"/>
              </w:rPr>
              <w:t>Privacy Officer / CISO</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1A64" w:rsidRDefault="00000000">
            <w:r>
              <w:rPr>
                <w:sz w:val="16"/>
                <w:szCs w:val="16"/>
              </w:rPr>
              <w:t>Monthly</w:t>
            </w:r>
          </w:p>
        </w:tc>
      </w:tr>
      <w:tr w:rsidR="00621A64">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rsidR="00621A64" w:rsidRDefault="00000000">
            <w:r>
              <w:rPr>
                <w:sz w:val="16"/>
                <w:szCs w:val="16"/>
              </w:rPr>
              <w:t>Technology</w:t>
            </w:r>
          </w:p>
        </w:tc>
        <w:tc>
          <w:tcPr>
            <w:tcW w:w="144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rsidR="00621A64" w:rsidRDefault="00000000">
            <w:r>
              <w:rPr>
                <w:sz w:val="16"/>
                <w:szCs w:val="16"/>
              </w:rPr>
              <w:t>Data migration integrity</w:t>
            </w:r>
          </w:p>
        </w:tc>
        <w:tc>
          <w:tcPr>
            <w:tcW w:w="24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rsidR="00621A64" w:rsidRDefault="00000000">
            <w:r>
              <w:rPr>
                <w:sz w:val="16"/>
                <w:szCs w:val="16"/>
              </w:rPr>
              <w:t>Validated migration defect rate for clinical/manufacturing data</w:t>
            </w:r>
          </w:p>
        </w:tc>
        <w:tc>
          <w:tcPr>
            <w:tcW w:w="228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rsidR="00621A64" w:rsidRDefault="00000000">
            <w:r>
              <w:rPr>
                <w:sz w:val="16"/>
                <w:szCs w:val="16"/>
              </w:rPr>
              <w:t>Green: &lt;1%; Amber: 1–3%; Red: &gt;3%</w:t>
            </w:r>
          </w:p>
        </w:tc>
        <w:tc>
          <w:tcPr>
            <w:tcW w:w="108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rsidR="00621A64" w:rsidRDefault="00000000">
            <w:r>
              <w:rPr>
                <w:sz w:val="16"/>
                <w:szCs w:val="16"/>
              </w:rPr>
              <w:t>Data Governance Lead</w:t>
            </w:r>
          </w:p>
        </w:tc>
        <w:tc>
          <w:tcPr>
            <w:tcW w:w="96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rsidR="00621A64" w:rsidRDefault="00000000">
            <w:r>
              <w:rPr>
                <w:sz w:val="16"/>
                <w:szCs w:val="16"/>
              </w:rPr>
              <w:t>Per migration wave</w:t>
            </w:r>
          </w:p>
        </w:tc>
      </w:tr>
      <w:tr w:rsidR="00621A64">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1A64" w:rsidRDefault="00000000">
            <w:r>
              <w:rPr>
                <w:sz w:val="16"/>
                <w:szCs w:val="16"/>
              </w:rPr>
              <w:t>Facilities / Supply Chain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1A64" w:rsidRDefault="00000000">
            <w:r>
              <w:rPr>
                <w:sz w:val="16"/>
                <w:szCs w:val="16"/>
              </w:rPr>
              <w:t>ADC supply continuity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1A64" w:rsidRDefault="00000000">
            <w:r>
              <w:rPr>
                <w:sz w:val="16"/>
                <w:szCs w:val="16"/>
              </w:rPr>
              <w:t>Days of supply for critical cytotoxic payloads and ADC materials</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1A64" w:rsidRDefault="00000000">
            <w:r>
              <w:rPr>
                <w:sz w:val="16"/>
                <w:szCs w:val="16"/>
              </w:rPr>
              <w:t>Green: &gt;90 days; Amber: 45–90 days; Red: &lt;45 days</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1A64" w:rsidRDefault="00000000">
            <w:r>
              <w:rPr>
                <w:sz w:val="16"/>
                <w:szCs w:val="16"/>
              </w:rPr>
              <w:t>Supply Chain</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1A64" w:rsidRDefault="00000000">
            <w:r>
              <w:rPr>
                <w:sz w:val="16"/>
                <w:szCs w:val="16"/>
              </w:rPr>
              <w:t>Monthly</w:t>
            </w:r>
          </w:p>
        </w:tc>
      </w:tr>
      <w:tr w:rsidR="00621A64">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rsidR="00621A64" w:rsidRDefault="00000000">
            <w:r>
              <w:rPr>
                <w:sz w:val="16"/>
                <w:szCs w:val="16"/>
              </w:rPr>
              <w:t>Facilities / Supply Chain</w:t>
            </w:r>
          </w:p>
        </w:tc>
        <w:tc>
          <w:tcPr>
            <w:tcW w:w="144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rsidR="00621A64" w:rsidRDefault="00000000">
            <w:r>
              <w:rPr>
                <w:sz w:val="16"/>
                <w:szCs w:val="16"/>
              </w:rPr>
              <w:t>Manufacturing reliability</w:t>
            </w:r>
          </w:p>
        </w:tc>
        <w:tc>
          <w:tcPr>
            <w:tcW w:w="24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rsidR="00621A64" w:rsidRDefault="00000000">
            <w:r>
              <w:rPr>
                <w:sz w:val="16"/>
                <w:szCs w:val="16"/>
              </w:rPr>
              <w:t xml:space="preserve">GMP manufacturing downtime for </w:t>
            </w:r>
            <w:proofErr w:type="spellStart"/>
            <w:r>
              <w:rPr>
                <w:sz w:val="16"/>
                <w:szCs w:val="16"/>
              </w:rPr>
              <w:t>Seagen</w:t>
            </w:r>
            <w:proofErr w:type="spellEnd"/>
            <w:r>
              <w:rPr>
                <w:sz w:val="16"/>
                <w:szCs w:val="16"/>
              </w:rPr>
              <w:t>-related products</w:t>
            </w:r>
          </w:p>
        </w:tc>
        <w:tc>
          <w:tcPr>
            <w:tcW w:w="228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rsidR="00621A64" w:rsidRDefault="00000000">
            <w:r>
              <w:rPr>
                <w:sz w:val="16"/>
                <w:szCs w:val="16"/>
              </w:rPr>
              <w:t>Green: &lt;1% of scheduled hours; Amber: 1–3%; Red: &gt;3%</w:t>
            </w:r>
          </w:p>
        </w:tc>
        <w:tc>
          <w:tcPr>
            <w:tcW w:w="108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rsidR="00621A64" w:rsidRDefault="00000000">
            <w:r>
              <w:rPr>
                <w:sz w:val="16"/>
                <w:szCs w:val="16"/>
              </w:rPr>
              <w:t>Site Operations</w:t>
            </w:r>
          </w:p>
        </w:tc>
        <w:tc>
          <w:tcPr>
            <w:tcW w:w="96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rsidR="00621A64" w:rsidRDefault="00000000">
            <w:r>
              <w:rPr>
                <w:sz w:val="16"/>
                <w:szCs w:val="16"/>
              </w:rPr>
              <w:t>Monthly</w:t>
            </w:r>
          </w:p>
        </w:tc>
      </w:tr>
      <w:tr w:rsidR="00621A64">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1A64" w:rsidRDefault="00000000">
            <w:r>
              <w:rPr>
                <w:sz w:val="16"/>
                <w:szCs w:val="16"/>
              </w:rPr>
              <w:t>Facilities / Supply Chain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1A64" w:rsidRDefault="00000000">
            <w:r>
              <w:rPr>
                <w:sz w:val="16"/>
                <w:szCs w:val="16"/>
              </w:rPr>
              <w:t>Regulatory site risk</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1A64" w:rsidRDefault="00000000">
            <w:r>
              <w:rPr>
                <w:sz w:val="16"/>
                <w:szCs w:val="16"/>
              </w:rPr>
              <w:t>FDA Form 483 observations or warning letters at relevant sites</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1A64" w:rsidRDefault="00000000">
            <w:r>
              <w:rPr>
                <w:sz w:val="16"/>
                <w:szCs w:val="16"/>
              </w:rPr>
              <w:t>Green: 0; Amber: one Form 483; Red: warning letter or repeat critical observation</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1A64" w:rsidRDefault="00000000">
            <w:r>
              <w:rPr>
                <w:sz w:val="16"/>
                <w:szCs w:val="16"/>
              </w:rPr>
              <w:t>Quality / Site Lead</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1A64" w:rsidRDefault="00000000">
            <w:r>
              <w:rPr>
                <w:sz w:val="16"/>
                <w:szCs w:val="16"/>
              </w:rPr>
              <w:t>Per inspection</w:t>
            </w:r>
          </w:p>
        </w:tc>
      </w:tr>
      <w:tr w:rsidR="00621A64">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rsidR="00621A64" w:rsidRDefault="00000000">
            <w:r>
              <w:rPr>
                <w:sz w:val="16"/>
                <w:szCs w:val="16"/>
              </w:rPr>
              <w:t>Financial / Strategic</w:t>
            </w:r>
          </w:p>
        </w:tc>
        <w:tc>
          <w:tcPr>
            <w:tcW w:w="144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rsidR="00621A64" w:rsidRDefault="00000000">
            <w:r>
              <w:rPr>
                <w:sz w:val="16"/>
                <w:szCs w:val="16"/>
              </w:rPr>
              <w:t>Revenue realization</w:t>
            </w:r>
          </w:p>
        </w:tc>
        <w:tc>
          <w:tcPr>
            <w:tcW w:w="24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rsidR="00621A64" w:rsidRDefault="00000000">
            <w:proofErr w:type="spellStart"/>
            <w:r>
              <w:rPr>
                <w:sz w:val="16"/>
                <w:szCs w:val="16"/>
              </w:rPr>
              <w:t>Seagen</w:t>
            </w:r>
            <w:proofErr w:type="spellEnd"/>
            <w:r>
              <w:rPr>
                <w:sz w:val="16"/>
                <w:szCs w:val="16"/>
              </w:rPr>
              <w:t>-related revenue versus integration plan</w:t>
            </w:r>
          </w:p>
        </w:tc>
        <w:tc>
          <w:tcPr>
            <w:tcW w:w="228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rsidR="00621A64" w:rsidRDefault="00000000">
            <w:r>
              <w:rPr>
                <w:sz w:val="16"/>
                <w:szCs w:val="16"/>
              </w:rPr>
              <w:t>Green: ≥95% of plan; Amber: 85–94%; Red: &lt;85%</w:t>
            </w:r>
          </w:p>
        </w:tc>
        <w:tc>
          <w:tcPr>
            <w:tcW w:w="108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rsidR="00621A64" w:rsidRDefault="00000000">
            <w:r>
              <w:rPr>
                <w:sz w:val="16"/>
                <w:szCs w:val="16"/>
              </w:rPr>
              <w:t>CFO / Commercial Oncology</w:t>
            </w:r>
          </w:p>
        </w:tc>
        <w:tc>
          <w:tcPr>
            <w:tcW w:w="96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rsidR="00621A64" w:rsidRDefault="00000000">
            <w:r>
              <w:rPr>
                <w:sz w:val="16"/>
                <w:szCs w:val="16"/>
              </w:rPr>
              <w:t>Quarterly</w:t>
            </w:r>
          </w:p>
        </w:tc>
      </w:tr>
      <w:tr w:rsidR="00621A64">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1A64" w:rsidRDefault="00000000">
            <w:r>
              <w:rPr>
                <w:sz w:val="16"/>
                <w:szCs w:val="16"/>
              </w:rPr>
              <w:t>Financial / Strategic</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1A64" w:rsidRDefault="00000000">
            <w:r>
              <w:rPr>
                <w:sz w:val="16"/>
                <w:szCs w:val="16"/>
              </w:rPr>
              <w:t>Synergy capture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1A64" w:rsidRDefault="00000000">
            <w:r>
              <w:rPr>
                <w:sz w:val="16"/>
                <w:szCs w:val="16"/>
              </w:rPr>
              <w:t>Cost and revenue synergy capture versus plan</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1A64" w:rsidRDefault="00000000">
            <w:r>
              <w:rPr>
                <w:sz w:val="16"/>
                <w:szCs w:val="16"/>
              </w:rPr>
              <w:t>Green: ≥90%; Amber: 75–89%; Red: &lt;75%</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1A64" w:rsidRDefault="00000000">
            <w:r>
              <w:rPr>
                <w:sz w:val="16"/>
                <w:szCs w:val="16"/>
              </w:rPr>
              <w:t>CFO / IMO</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1A64" w:rsidRDefault="00000000">
            <w:r>
              <w:rPr>
                <w:sz w:val="16"/>
                <w:szCs w:val="16"/>
              </w:rPr>
              <w:t>Monthly</w:t>
            </w:r>
          </w:p>
        </w:tc>
      </w:tr>
      <w:tr w:rsidR="00621A64">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rsidR="00621A64" w:rsidRDefault="00000000">
            <w:r>
              <w:rPr>
                <w:sz w:val="16"/>
                <w:szCs w:val="16"/>
              </w:rPr>
              <w:t>Competitive</w:t>
            </w:r>
          </w:p>
        </w:tc>
        <w:tc>
          <w:tcPr>
            <w:tcW w:w="144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rsidR="00621A64" w:rsidRDefault="00000000">
            <w:r>
              <w:rPr>
                <w:sz w:val="16"/>
                <w:szCs w:val="16"/>
              </w:rPr>
              <w:t>ADC market pressure</w:t>
            </w:r>
          </w:p>
        </w:tc>
        <w:tc>
          <w:tcPr>
            <w:tcW w:w="24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rsidR="00621A64" w:rsidRDefault="00000000">
            <w:r>
              <w:rPr>
                <w:sz w:val="16"/>
                <w:szCs w:val="16"/>
              </w:rPr>
              <w:t>Competitor ADC approvals, major data readouts, or launches in overlapping indications</w:t>
            </w:r>
          </w:p>
        </w:tc>
        <w:tc>
          <w:tcPr>
            <w:tcW w:w="228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rsidR="00621A64" w:rsidRDefault="00000000">
            <w:r>
              <w:rPr>
                <w:sz w:val="16"/>
                <w:szCs w:val="16"/>
              </w:rPr>
              <w:t>Green: no material event; Amber: one material event; Red: two or more in a year</w:t>
            </w:r>
          </w:p>
        </w:tc>
        <w:tc>
          <w:tcPr>
            <w:tcW w:w="108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rsidR="00621A64" w:rsidRDefault="00000000">
            <w:r>
              <w:rPr>
                <w:sz w:val="16"/>
                <w:szCs w:val="16"/>
              </w:rPr>
              <w:t>Strategy / Portfolio Governance</w:t>
            </w:r>
          </w:p>
        </w:tc>
        <w:tc>
          <w:tcPr>
            <w:tcW w:w="96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rsidR="00621A64" w:rsidRDefault="00000000">
            <w:r>
              <w:rPr>
                <w:sz w:val="16"/>
                <w:szCs w:val="16"/>
              </w:rPr>
              <w:t>Quarterly</w:t>
            </w:r>
          </w:p>
        </w:tc>
      </w:tr>
    </w:tbl>
    <w:p w:rsidR="00621A64" w:rsidRDefault="00621A64">
      <w:pPr>
        <w:spacing w:after="240"/>
      </w:pPr>
    </w:p>
    <w:p w:rsidR="00621A64" w:rsidRDefault="00000000">
      <w:pPr>
        <w:pStyle w:val="Heading1"/>
      </w:pPr>
      <w:r>
        <w:t>6. Problem Statement Integration: Three Priority Risk Areas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160"/>
        <w:gridCol w:w="3600"/>
        <w:gridCol w:w="1800"/>
      </w:tblGrid>
      <w:tr w:rsidR="00621A6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621A64" w:rsidRDefault="00000000">
            <w:r>
              <w:rPr>
                <w:b/>
                <w:bCs/>
                <w:color w:val="FFFFFF"/>
                <w:sz w:val="18"/>
                <w:szCs w:val="18"/>
              </w:rPr>
              <w:t>Risk Area</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621A64" w:rsidRDefault="00000000">
            <w:r>
              <w:rPr>
                <w:b/>
                <w:bCs/>
                <w:color w:val="FFFFFF"/>
                <w:sz w:val="18"/>
                <w:szCs w:val="18"/>
              </w:rPr>
              <w:t>Specific Competitive Pressure</w:t>
            </w:r>
          </w:p>
        </w:tc>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621A64" w:rsidRDefault="00000000">
            <w:r>
              <w:rPr>
                <w:b/>
                <w:bCs/>
                <w:color w:val="FFFFFF"/>
                <w:sz w:val="18"/>
                <w:szCs w:val="18"/>
              </w:rPr>
              <w:t>Problem Statement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621A64" w:rsidRDefault="00000000">
            <w:r>
              <w:rPr>
                <w:b/>
                <w:bCs/>
                <w:color w:val="FFFFFF"/>
                <w:sz w:val="18"/>
                <w:szCs w:val="18"/>
              </w:rPr>
              <w:t>Primary KRIs</w:t>
            </w:r>
          </w:p>
        </w:tc>
      </w:tr>
      <w:tr w:rsidR="00621A6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1A64" w:rsidRDefault="00000000">
            <w:r>
              <w:rPr>
                <w:sz w:val="18"/>
                <w:szCs w:val="18"/>
              </w:rPr>
              <w:t>1. ADC competitive pressure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1A64" w:rsidRDefault="00000000">
            <w:r>
              <w:rPr>
                <w:sz w:val="18"/>
                <w:szCs w:val="18"/>
              </w:rPr>
              <w:t xml:space="preserve">Threat from SWOT: AbbVie, Merck/Daiichi Sankyo, Bristol Myers Squibb, Gilead, and </w:t>
            </w:r>
            <w:r>
              <w:rPr>
                <w:sz w:val="18"/>
                <w:szCs w:val="18"/>
              </w:rPr>
              <w:lastRenderedPageBreak/>
              <w:t>others are investing heavily in ADCs.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1A64" w:rsidRDefault="00000000">
            <w:r>
              <w:rPr>
                <w:sz w:val="18"/>
                <w:szCs w:val="18"/>
              </w:rPr>
              <w:lastRenderedPageBreak/>
              <w:t xml:space="preserve">Pfizer is at real risk of losing expected oncology market share and the underlying value of the </w:t>
            </w:r>
            <w:proofErr w:type="spellStart"/>
            <w:r>
              <w:rPr>
                <w:sz w:val="18"/>
                <w:szCs w:val="18"/>
              </w:rPr>
              <w:t>Seagen</w:t>
            </w:r>
            <w:proofErr w:type="spellEnd"/>
            <w:r>
              <w:rPr>
                <w:sz w:val="18"/>
                <w:szCs w:val="18"/>
              </w:rPr>
              <w:t xml:space="preserve"> acquisition if competitors secure faster approvals, produce stronger clinical data, or </w:t>
            </w:r>
            <w:r>
              <w:rPr>
                <w:sz w:val="18"/>
                <w:szCs w:val="18"/>
              </w:rPr>
              <w:lastRenderedPageBreak/>
              <w:t xml:space="preserve">establish better payer positioning in the same indications. This needs monitoring now because </w:t>
            </w:r>
            <w:proofErr w:type="spellStart"/>
            <w:r>
              <w:rPr>
                <w:sz w:val="18"/>
                <w:szCs w:val="18"/>
              </w:rPr>
              <w:t>Seagen's</w:t>
            </w:r>
            <w:proofErr w:type="spellEnd"/>
            <w:r>
              <w:rPr>
                <w:sz w:val="18"/>
                <w:szCs w:val="18"/>
              </w:rPr>
              <w:t xml:space="preserve"> value is time-sensitive it depends on converting ADC expertise into near-term launches, expanded labels, and sustained pipeline momentum before the competitive window narrows.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1A64" w:rsidRDefault="00000000">
            <w:r>
              <w:rPr>
                <w:sz w:val="18"/>
                <w:szCs w:val="18"/>
              </w:rPr>
              <w:lastRenderedPageBreak/>
              <w:t xml:space="preserve">Competitor ADC events; </w:t>
            </w:r>
            <w:proofErr w:type="spellStart"/>
            <w:r>
              <w:rPr>
                <w:sz w:val="18"/>
                <w:szCs w:val="18"/>
              </w:rPr>
              <w:t>Seagen</w:t>
            </w:r>
            <w:proofErr w:type="spellEnd"/>
            <w:r>
              <w:rPr>
                <w:sz w:val="18"/>
                <w:szCs w:val="18"/>
              </w:rPr>
              <w:t xml:space="preserve"> revenue vs. plan; launch readiness; </w:t>
            </w:r>
            <w:r>
              <w:rPr>
                <w:sz w:val="18"/>
                <w:szCs w:val="18"/>
              </w:rPr>
              <w:lastRenderedPageBreak/>
              <w:t>market-share movement.</w:t>
            </w:r>
          </w:p>
        </w:tc>
      </w:tr>
      <w:tr w:rsidR="00621A6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rsidR="00621A64" w:rsidRDefault="00000000">
            <w:r>
              <w:rPr>
                <w:sz w:val="18"/>
                <w:szCs w:val="18"/>
              </w:rPr>
              <w:lastRenderedPageBreak/>
              <w:t>2. Cybersecurity and data-integrity exposure during integration</w:t>
            </w:r>
          </w:p>
        </w:tc>
        <w:tc>
          <w:tcPr>
            <w:tcW w:w="216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rsidR="00621A64" w:rsidRDefault="00000000">
            <w:r>
              <w:rPr>
                <w:sz w:val="18"/>
                <w:szCs w:val="18"/>
              </w:rPr>
              <w:t xml:space="preserve">Threat from SWOT: connecting legacy Pfizer and </w:t>
            </w:r>
            <w:proofErr w:type="spellStart"/>
            <w:r>
              <w:rPr>
                <w:sz w:val="18"/>
                <w:szCs w:val="18"/>
              </w:rPr>
              <w:t>Seagen</w:t>
            </w:r>
            <w:proofErr w:type="spellEnd"/>
            <w:r>
              <w:rPr>
                <w:sz w:val="18"/>
                <w:szCs w:val="18"/>
              </w:rPr>
              <w:t xml:space="preserve"> systems creates a temporary but serious exposure window.</w:t>
            </w:r>
          </w:p>
        </w:tc>
        <w:tc>
          <w:tcPr>
            <w:tcW w:w="36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rsidR="00621A64" w:rsidRDefault="00000000">
            <w:r>
              <w:rPr>
                <w:sz w:val="18"/>
                <w:szCs w:val="18"/>
              </w:rPr>
              <w:t>While two large pharmaceutical environments are being connected, Pfizer faces an elevated and time-limited risk of ransomware, ePHI exposure, ADC intellectual property theft, or data-integrity failure during system migration. This needs monitoring now because clinical, manufacturing, identity, vendor, and patient-data systems are at their most vulnerable precisely when they are being linked together. Controls should align with NIST CSF 2.0 and FDA data-integrity guidance.</w:t>
            </w:r>
          </w:p>
        </w:tc>
        <w:tc>
          <w:tcPr>
            <w:tcW w:w="1800" w:type="dxa"/>
            <w:tcBorders>
              <w:top w:val="single" w:sz="1" w:space="0" w:color="CCCCCC"/>
              <w:left w:val="single" w:sz="1" w:space="0" w:color="CCCCCC"/>
              <w:bottom w:val="single" w:sz="1" w:space="0" w:color="CCCCCC"/>
              <w:right w:val="single" w:sz="1" w:space="0" w:color="CCCCCC"/>
            </w:tcBorders>
            <w:shd w:val="clear" w:color="auto" w:fill="EAF2F8"/>
            <w:tcMar>
              <w:top w:w="80" w:type="dxa"/>
              <w:left w:w="120" w:type="dxa"/>
              <w:bottom w:w="80" w:type="dxa"/>
              <w:right w:w="120" w:type="dxa"/>
            </w:tcMar>
          </w:tcPr>
          <w:p w:rsidR="00621A64" w:rsidRDefault="00000000">
            <w:r>
              <w:rPr>
                <w:sz w:val="18"/>
                <w:szCs w:val="18"/>
              </w:rPr>
              <w:t>Critical vulnerabilities; MTTD/MTTR; ePHI anomalies; migration defect rate; privileged-access exceptions.</w:t>
            </w:r>
          </w:p>
        </w:tc>
      </w:tr>
      <w:tr w:rsidR="00621A6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1A64" w:rsidRDefault="00000000">
            <w:r>
              <w:rPr>
                <w:sz w:val="18"/>
                <w:szCs w:val="18"/>
              </w:rPr>
              <w:t>3. Regulatory, pricing, and margin pressure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1A64" w:rsidRDefault="00000000">
            <w:r>
              <w:rPr>
                <w:sz w:val="18"/>
                <w:szCs w:val="18"/>
              </w:rPr>
              <w:t>Threat from SWOT: Medicare drug-price negotiation, loss-of-exclusivity pressure, clinical evidence expectations, and litigation risk can reduce the financial return from the deal.</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1A64" w:rsidRDefault="00000000">
            <w:r>
              <w:rPr>
                <w:sz w:val="18"/>
                <w:szCs w:val="18"/>
              </w:rPr>
              <w:t>Pfizer faces the risk that future oncology margins, product approvals, or launch timelines will be squeezed by CMS pricing actions, FDA/EMA delays, payer restrictions, or product liability claims. This needs monitoring now because these pressures can directly erode the $10 billion 2030 revenue thesis and threaten the return on a $43 billion investment.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21A64" w:rsidRDefault="00000000">
            <w:r>
              <w:rPr>
                <w:sz w:val="18"/>
                <w:szCs w:val="18"/>
              </w:rPr>
              <w:t xml:space="preserve">Submission delays; </w:t>
            </w:r>
            <w:proofErr w:type="spellStart"/>
            <w:r>
              <w:rPr>
                <w:sz w:val="18"/>
                <w:szCs w:val="18"/>
              </w:rPr>
              <w:t>GxP</w:t>
            </w:r>
            <w:proofErr w:type="spellEnd"/>
            <w:r>
              <w:rPr>
                <w:sz w:val="18"/>
                <w:szCs w:val="18"/>
              </w:rPr>
              <w:t xml:space="preserve"> findings; negotiated-pricing exposure; payer coverage changes; legal reserve trends.</w:t>
            </w:r>
          </w:p>
        </w:tc>
      </w:tr>
    </w:tbl>
    <w:p w:rsidR="00621A64" w:rsidRDefault="00621A64">
      <w:pPr>
        <w:spacing w:after="120"/>
      </w:pPr>
    </w:p>
    <w:sectPr w:rsidR="00621A6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F453A"/>
    <w:multiLevelType w:val="hybridMultilevel"/>
    <w:tmpl w:val="EB5497EA"/>
    <w:lvl w:ilvl="0" w:tplc="5B7E82EC">
      <w:start w:val="1"/>
      <w:numFmt w:val="bullet"/>
      <w:lvlText w:val="●"/>
      <w:lvlJc w:val="left"/>
      <w:pPr>
        <w:ind w:left="720" w:hanging="360"/>
      </w:pPr>
    </w:lvl>
    <w:lvl w:ilvl="1" w:tplc="0F8CE3D8">
      <w:start w:val="1"/>
      <w:numFmt w:val="bullet"/>
      <w:lvlText w:val="○"/>
      <w:lvlJc w:val="left"/>
      <w:pPr>
        <w:ind w:left="1440" w:hanging="360"/>
      </w:pPr>
    </w:lvl>
    <w:lvl w:ilvl="2" w:tplc="7188EFB8">
      <w:start w:val="1"/>
      <w:numFmt w:val="bullet"/>
      <w:lvlText w:val="■"/>
      <w:lvlJc w:val="left"/>
      <w:pPr>
        <w:ind w:left="2160" w:hanging="360"/>
      </w:pPr>
    </w:lvl>
    <w:lvl w:ilvl="3" w:tplc="F87C3964">
      <w:start w:val="1"/>
      <w:numFmt w:val="bullet"/>
      <w:lvlText w:val="●"/>
      <w:lvlJc w:val="left"/>
      <w:pPr>
        <w:ind w:left="2880" w:hanging="360"/>
      </w:pPr>
    </w:lvl>
    <w:lvl w:ilvl="4" w:tplc="180274FA">
      <w:start w:val="1"/>
      <w:numFmt w:val="bullet"/>
      <w:lvlText w:val="○"/>
      <w:lvlJc w:val="left"/>
      <w:pPr>
        <w:ind w:left="3600" w:hanging="360"/>
      </w:pPr>
    </w:lvl>
    <w:lvl w:ilvl="5" w:tplc="22B02E96">
      <w:start w:val="1"/>
      <w:numFmt w:val="bullet"/>
      <w:lvlText w:val="■"/>
      <w:lvlJc w:val="left"/>
      <w:pPr>
        <w:ind w:left="4320" w:hanging="360"/>
      </w:pPr>
    </w:lvl>
    <w:lvl w:ilvl="6" w:tplc="9B6E72A8">
      <w:start w:val="1"/>
      <w:numFmt w:val="bullet"/>
      <w:lvlText w:val="●"/>
      <w:lvlJc w:val="left"/>
      <w:pPr>
        <w:ind w:left="5040" w:hanging="360"/>
      </w:pPr>
    </w:lvl>
    <w:lvl w:ilvl="7" w:tplc="FF14565C">
      <w:start w:val="1"/>
      <w:numFmt w:val="bullet"/>
      <w:lvlText w:val="●"/>
      <w:lvlJc w:val="left"/>
      <w:pPr>
        <w:ind w:left="5760" w:hanging="360"/>
      </w:pPr>
    </w:lvl>
    <w:lvl w:ilvl="8" w:tplc="7654FDBC">
      <w:start w:val="1"/>
      <w:numFmt w:val="bullet"/>
      <w:lvlText w:val="●"/>
      <w:lvlJc w:val="left"/>
      <w:pPr>
        <w:ind w:left="6480" w:hanging="360"/>
      </w:pPr>
    </w:lvl>
  </w:abstractNum>
  <w:num w:numId="1" w16cid:durableId="11765722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A64"/>
    <w:rsid w:val="004716ED"/>
    <w:rsid w:val="00621A6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246CFD3"/>
  <w15:docId w15:val="{244130FB-A681-8946-AFA1-754044D56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9"/>
      <w:sz w:val="28"/>
      <w:szCs w:val="28"/>
    </w:rPr>
  </w:style>
  <w:style w:type="paragraph" w:styleId="Heading2">
    <w:name w:val="heading 2"/>
    <w:uiPriority w:val="9"/>
    <w:semiHidden/>
    <w:unhideWhenUsed/>
    <w:qFormat/>
    <w:pPr>
      <w:spacing w:before="18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1309</Words>
  <Characters>7467</Characters>
  <Application>Microsoft Office Word</Application>
  <DocSecurity>0</DocSecurity>
  <Lines>62</Lines>
  <Paragraphs>17</Paragraphs>
  <ScaleCrop>false</ScaleCrop>
  <Company/>
  <LinksUpToDate>false</LinksUpToDate>
  <CharactersWithSpaces>8759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cp:revision>
  <dcterms:created xsi:type="dcterms:W3CDTF">2026-06-03T04:55:00Z</dcterms:created>
  <dcterms:modified xsi:type="dcterms:W3CDTF">2026-06-03T05:08:00Z</dcterms:modified>
</cp:coreProperties>
</file>