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C8B2" w14:textId="7CC5EEBE" w:rsidR="00875F04" w:rsidRDefault="00CC596B">
      <w:pPr>
        <w:rPr>
          <w:rFonts w:ascii="Times New Roman" w:hAnsi="Times New Roman" w:cs="Times New Roman"/>
        </w:rPr>
      </w:pPr>
      <w:bookmarkStart w:id="0" w:name="OLE_LINK1"/>
      <w:r>
        <w:rPr>
          <w:rFonts w:ascii="Times New Roman" w:hAnsi="Times New Roman" w:cs="Times New Roman" w:hint="eastAsia"/>
        </w:rPr>
        <w:t xml:space="preserve">There are three highest-priority risks from the previous qualitative and quantitative assessments. They are ADC market-share erosion, critical ADC talent poaching and first mover ADC combination opportunity. </w:t>
      </w:r>
    </w:p>
    <w:p w14:paraId="49296D9D" w14:textId="6090FC52" w:rsidR="00CC596B" w:rsidRDefault="00CC59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1. ADC Market Share Erosion</w:t>
      </w:r>
    </w:p>
    <w:p w14:paraId="4FA44824" w14:textId="77777777" w:rsidR="00CC596B" w:rsidRDefault="00CC59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Risk type: threat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 xml:space="preserve">Response strategy: </w:t>
      </w:r>
      <w:r>
        <w:rPr>
          <w:rFonts w:ascii="Times New Roman" w:hAnsi="Times New Roman" w:cs="Times New Roman"/>
        </w:rPr>
        <w:t>mitigation</w:t>
      </w:r>
      <w:r>
        <w:rPr>
          <w:rFonts w:ascii="Times New Roman" w:hAnsi="Times New Roman" w:cs="Times New Roman" w:hint="eastAsia"/>
        </w:rPr>
        <w:t xml:space="preserve"> or reduction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 xml:space="preserve">Fitness of strategy: The competition in the ADC market cannot be avoided by Pfizer. Also, this risk cannot be transferred to other parties. Thus, the best response to reduce the </w:t>
      </w:r>
      <w:r>
        <w:rPr>
          <w:rFonts w:ascii="Times New Roman" w:hAnsi="Times New Roman" w:cs="Times New Roman"/>
        </w:rPr>
        <w:t>probability</w:t>
      </w:r>
      <w:r>
        <w:rPr>
          <w:rFonts w:ascii="Times New Roman" w:hAnsi="Times New Roman" w:cs="Times New Roman" w:hint="eastAsia"/>
        </w:rPr>
        <w:t xml:space="preserve"> and impact of the risk by faster </w:t>
      </w:r>
      <w:r>
        <w:rPr>
          <w:rFonts w:ascii="Times New Roman" w:hAnsi="Times New Roman" w:cs="Times New Roman"/>
        </w:rPr>
        <w:t>monitoring</w:t>
      </w:r>
      <w:r>
        <w:rPr>
          <w:rFonts w:ascii="Times New Roman" w:hAnsi="Times New Roman" w:cs="Times New Roman" w:hint="eastAsia"/>
        </w:rPr>
        <w:t xml:space="preserve"> and stronger commercial execution.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 xml:space="preserve">Response: Pfizer could create an ADC competitive-response dashboard. The Integration Management Office, Oncology Commercial Team and Enterprise Risk </w:t>
      </w:r>
      <w:r>
        <w:rPr>
          <w:rFonts w:ascii="Times New Roman" w:hAnsi="Times New Roman" w:cs="Times New Roman"/>
        </w:rPr>
        <w:t>Committee</w:t>
      </w:r>
      <w:r>
        <w:rPr>
          <w:rFonts w:ascii="Times New Roman" w:hAnsi="Times New Roman" w:cs="Times New Roman" w:hint="eastAsia"/>
        </w:rPr>
        <w:t xml:space="preserve"> should review this dashboard monthly. The dashboard would track the number of ADC approvals and Phase 3 starts from competitors. Then, they should compare with Seagen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>s ADC share trend and key product growth. The risk should be escalated if Seagen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s ADC share declines by more than 5% per year or if the number of competitor ADC approvals in a year is increasing. </w:t>
      </w:r>
    </w:p>
    <w:p w14:paraId="41B7B2B6" w14:textId="77777777" w:rsidR="00CC596B" w:rsidRDefault="00CC59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response plan would include faster medical-affairs supporter and stronger payer and reimbursement planning. Also, it would include more focused investment in the most competitive Seagen products. </w:t>
      </w:r>
    </w:p>
    <w:p w14:paraId="4A5B7549" w14:textId="77777777" w:rsidR="00FF1AAD" w:rsidRDefault="00CC59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2. Critical ADC Talent Poaching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Risk type: Threat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 xml:space="preserve">Response strategy: Mitigation or reduction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Fitness of strategy: the risk should b reduced as the value of acquisition consists mainly of Seagen</w:t>
      </w:r>
      <w:r>
        <w:rPr>
          <w:rFonts w:ascii="Times New Roman" w:hAnsi="Times New Roman" w:cs="Times New Roman"/>
        </w:rPr>
        <w:t>’</w:t>
      </w:r>
      <w:r>
        <w:rPr>
          <w:rFonts w:ascii="Times New Roman" w:hAnsi="Times New Roman" w:cs="Times New Roman" w:hint="eastAsia"/>
        </w:rPr>
        <w:t xml:space="preserve">s ADC scientists and senior oncology leaders. Pfizer cannot avoid the risk. The best strategy is to reduce risk by retaining key employees.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 xml:space="preserve">Response Plan: Pfizer should identify key employees such as the most critical Seagen ADC scientists or </w:t>
      </w:r>
      <w:r>
        <w:rPr>
          <w:rFonts w:ascii="Times New Roman" w:hAnsi="Times New Roman" w:cs="Times New Roman"/>
        </w:rPr>
        <w:t>clinical</w:t>
      </w:r>
      <w:r>
        <w:rPr>
          <w:rFonts w:ascii="Times New Roman" w:hAnsi="Times New Roman" w:cs="Times New Roman" w:hint="eastAsia"/>
        </w:rPr>
        <w:t xml:space="preserve"> leaders. Also, it should run regular interviews with key employees to understand the incentives behind their leaving. </w:t>
      </w:r>
    </w:p>
    <w:p w14:paraId="27575757" w14:textId="077FC040" w:rsidR="00CC596B" w:rsidRPr="00CC596B" w:rsidRDefault="00FF1AAD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3. First-Mover ADC Combination Advantage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Risk type: Opportunity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 xml:space="preserve">Response strategy: Exploit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>Fitness of strategy: Pfizer should take this opportunity. The best response is to actively exploit the opportunity by moving quickly in ADC combination therapy before competitors take the lead.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 xml:space="preserve">Response plan: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 xml:space="preserve">Pfizer should create a dedicated ADC combination Acceleration Team. The team will focus on identifying, testing and </w:t>
      </w:r>
      <w:r>
        <w:rPr>
          <w:rFonts w:ascii="Times New Roman" w:hAnsi="Times New Roman" w:cs="Times New Roman"/>
        </w:rPr>
        <w:t>advancing</w:t>
      </w:r>
      <w:r>
        <w:rPr>
          <w:rFonts w:ascii="Times New Roman" w:hAnsi="Times New Roman" w:cs="Times New Roman" w:hint="eastAsia"/>
        </w:rPr>
        <w:t xml:space="preserve"> new ADC combination programs. </w:t>
      </w:r>
      <w:r w:rsidR="00CC596B">
        <w:rPr>
          <w:rFonts w:ascii="Times New Roman" w:hAnsi="Times New Roman" w:cs="Times New Roman" w:hint="eastAsia"/>
        </w:rPr>
        <w:t xml:space="preserve"> </w:t>
      </w:r>
      <w:bookmarkEnd w:id="0"/>
    </w:p>
    <w:sectPr w:rsidR="00CC596B" w:rsidRPr="00CC596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F0DE1" w14:textId="77777777" w:rsidR="009B5C13" w:rsidRDefault="009B5C13" w:rsidP="00CC596B">
      <w:pPr>
        <w:spacing w:after="0" w:line="240" w:lineRule="auto"/>
      </w:pPr>
      <w:r>
        <w:separator/>
      </w:r>
    </w:p>
  </w:endnote>
  <w:endnote w:type="continuationSeparator" w:id="0">
    <w:p w14:paraId="37A7FC57" w14:textId="77777777" w:rsidR="009B5C13" w:rsidRDefault="009B5C13" w:rsidP="00CC5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6F233" w14:textId="77777777" w:rsidR="009B5C13" w:rsidRDefault="009B5C13" w:rsidP="00CC596B">
      <w:pPr>
        <w:spacing w:after="0" w:line="240" w:lineRule="auto"/>
      </w:pPr>
      <w:r>
        <w:separator/>
      </w:r>
    </w:p>
  </w:footnote>
  <w:footnote w:type="continuationSeparator" w:id="0">
    <w:p w14:paraId="13119BFF" w14:textId="77777777" w:rsidR="009B5C13" w:rsidRDefault="009B5C13" w:rsidP="00CC59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04"/>
    <w:rsid w:val="001F3D7C"/>
    <w:rsid w:val="00875F04"/>
    <w:rsid w:val="009B5C13"/>
    <w:rsid w:val="00CC596B"/>
    <w:rsid w:val="00FF1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3DB6C"/>
  <w15:chartTrackingRefBased/>
  <w15:docId w15:val="{60FABE02-F06E-4243-81A0-3155ACAD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F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596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96B"/>
  </w:style>
  <w:style w:type="paragraph" w:styleId="Footer">
    <w:name w:val="footer"/>
    <w:basedOn w:val="Normal"/>
    <w:link w:val="FooterChar"/>
    <w:uiPriority w:val="99"/>
    <w:unhideWhenUsed/>
    <w:rsid w:val="00CC596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9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Christ</dc:creator>
  <cp:keywords/>
  <dc:description/>
  <cp:lastModifiedBy>Bob Christ</cp:lastModifiedBy>
  <cp:revision>2</cp:revision>
  <dcterms:created xsi:type="dcterms:W3CDTF">2026-06-20T01:58:00Z</dcterms:created>
  <dcterms:modified xsi:type="dcterms:W3CDTF">2026-06-20T02:12:00Z</dcterms:modified>
</cp:coreProperties>
</file>