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70255" w14:textId="77777777" w:rsidR="005962C0" w:rsidRDefault="00000000">
      <w:pPr>
        <w:spacing w:after="60"/>
        <w:jc w:val="center"/>
      </w:pPr>
      <w:r>
        <w:rPr>
          <w:b/>
          <w:bCs/>
          <w:color w:val="1F3864"/>
          <w:sz w:val="30"/>
          <w:szCs w:val="30"/>
        </w:rPr>
        <w:t>Class Activity: Risk Response Planning</w:t>
      </w:r>
    </w:p>
    <w:p w14:paraId="04E12F74" w14:textId="77777777" w:rsidR="005962C0" w:rsidRDefault="00000000">
      <w:pPr>
        <w:spacing w:after="160"/>
        <w:jc w:val="center"/>
      </w:pPr>
      <w:r>
        <w:rPr>
          <w:i/>
          <w:iCs/>
          <w:color w:val="595959"/>
          <w:sz w:val="20"/>
          <w:szCs w:val="20"/>
        </w:rPr>
        <w:t xml:space="preserve">Pfizer / </w:t>
      </w:r>
      <w:proofErr w:type="spellStart"/>
      <w:r>
        <w:rPr>
          <w:i/>
          <w:iCs/>
          <w:color w:val="595959"/>
          <w:sz w:val="20"/>
          <w:szCs w:val="20"/>
        </w:rPr>
        <w:t>Seagen</w:t>
      </w:r>
      <w:proofErr w:type="spellEnd"/>
      <w:r>
        <w:rPr>
          <w:i/>
          <w:iCs/>
          <w:color w:val="595959"/>
          <w:sz w:val="20"/>
          <w:szCs w:val="20"/>
        </w:rPr>
        <w:t xml:space="preserve"> </w:t>
      </w:r>
      <w:proofErr w:type="gramStart"/>
      <w:r>
        <w:rPr>
          <w:i/>
          <w:iCs/>
          <w:color w:val="595959"/>
          <w:sz w:val="20"/>
          <w:szCs w:val="20"/>
        </w:rPr>
        <w:t>Acquisition  |</w:t>
      </w:r>
      <w:proofErr w:type="gramEnd"/>
      <w:r>
        <w:rPr>
          <w:i/>
          <w:iCs/>
          <w:color w:val="595959"/>
          <w:sz w:val="20"/>
          <w:szCs w:val="20"/>
        </w:rPr>
        <w:t xml:space="preserve">  Group 10</w:t>
      </w:r>
    </w:p>
    <w:p w14:paraId="4DE62DF0" w14:textId="77777777" w:rsidR="005962C0" w:rsidRPr="003A5ADB" w:rsidRDefault="00000000">
      <w:pPr>
        <w:spacing w:after="160"/>
        <w:jc w:val="both"/>
      </w:pPr>
      <w:r w:rsidRPr="003A5ADB">
        <w:rPr>
          <w:color w:val="595959"/>
          <w:sz w:val="21"/>
          <w:szCs w:val="21"/>
        </w:rPr>
        <w:t>Quick notes from our group's response planning, using the heat map and register from Module 3 plus the Monte Carlo numbers from Module 4 for R-006, R-MSE, and R-010 (the three we actually quantified). R-001, R-002, and R-003 stayed qualitative-only, so those are based on the register, not the simulation.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9"/>
        <w:gridCol w:w="2036"/>
        <w:gridCol w:w="1161"/>
        <w:gridCol w:w="1459"/>
        <w:gridCol w:w="4015"/>
      </w:tblGrid>
      <w:tr w:rsidR="005962C0" w14:paraId="6D2A6A61"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90" w:type="dxa"/>
              <w:bottom w:w="60" w:type="dxa"/>
              <w:right w:w="90" w:type="dxa"/>
            </w:tcMar>
            <w:vAlign w:val="center"/>
          </w:tcPr>
          <w:p w14:paraId="127D1DE4" w14:textId="77777777" w:rsidR="005962C0" w:rsidRDefault="00000000">
            <w:r>
              <w:rPr>
                <w:b/>
                <w:bCs/>
                <w:color w:val="FFFFFF"/>
                <w:sz w:val="19"/>
                <w:szCs w:val="19"/>
              </w:rPr>
              <w:t>Risk</w:t>
            </w:r>
          </w:p>
        </w:tc>
        <w:tc>
          <w:tcPr>
            <w:tcW w:w="21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90" w:type="dxa"/>
              <w:bottom w:w="60" w:type="dxa"/>
              <w:right w:w="90" w:type="dxa"/>
            </w:tcMar>
            <w:vAlign w:val="center"/>
          </w:tcPr>
          <w:p w14:paraId="64F0752A" w14:textId="77777777" w:rsidR="005962C0" w:rsidRDefault="00000000">
            <w:r>
              <w:rPr>
                <w:b/>
                <w:bCs/>
                <w:color w:val="FFFFFF"/>
                <w:sz w:val="19"/>
                <w:szCs w:val="19"/>
              </w:rPr>
              <w:t>Name</w:t>
            </w:r>
          </w:p>
        </w:tc>
        <w:tc>
          <w:tcPr>
            <w:tcW w:w="950" w:type="dxa"/>
            <w:tcBorders>
              <w:top w:val="single" w:sz="1" w:space="0" w:color="999999"/>
              <w:left w:val="single" w:sz="1" w:space="0" w:color="999999"/>
              <w:bottom w:val="single" w:sz="1" w:space="0" w:color="999999"/>
              <w:right w:val="single" w:sz="1" w:space="0" w:color="999999"/>
            </w:tcBorders>
            <w:shd w:val="clear" w:color="auto" w:fill="1F3864"/>
            <w:tcMar>
              <w:top w:w="60" w:type="dxa"/>
              <w:left w:w="90" w:type="dxa"/>
              <w:bottom w:w="60" w:type="dxa"/>
              <w:right w:w="90" w:type="dxa"/>
            </w:tcMar>
            <w:vAlign w:val="center"/>
          </w:tcPr>
          <w:p w14:paraId="77CBB514" w14:textId="77777777" w:rsidR="005962C0" w:rsidRDefault="00000000">
            <w:r>
              <w:rPr>
                <w:b/>
                <w:bCs/>
                <w:color w:val="FFFFFF"/>
                <w:sz w:val="19"/>
                <w:szCs w:val="19"/>
              </w:rPr>
              <w:t>Score</w:t>
            </w:r>
          </w:p>
        </w:tc>
        <w:tc>
          <w:tcPr>
            <w:tcW w:w="15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90" w:type="dxa"/>
              <w:bottom w:w="60" w:type="dxa"/>
              <w:right w:w="90" w:type="dxa"/>
            </w:tcMar>
            <w:vAlign w:val="center"/>
          </w:tcPr>
          <w:p w14:paraId="5CEEC4E3" w14:textId="77777777" w:rsidR="005962C0" w:rsidRDefault="00000000">
            <w:r>
              <w:rPr>
                <w:b/>
                <w:bCs/>
                <w:color w:val="FFFFFF"/>
                <w:sz w:val="19"/>
                <w:szCs w:val="19"/>
              </w:rPr>
              <w:t>Strategy</w:t>
            </w:r>
          </w:p>
        </w:tc>
        <w:tc>
          <w:tcPr>
            <w:tcW w:w="4110" w:type="dxa"/>
            <w:tcBorders>
              <w:top w:val="single" w:sz="1" w:space="0" w:color="999999"/>
              <w:left w:val="single" w:sz="1" w:space="0" w:color="999999"/>
              <w:bottom w:val="single" w:sz="1" w:space="0" w:color="999999"/>
              <w:right w:val="single" w:sz="1" w:space="0" w:color="999999"/>
            </w:tcBorders>
            <w:shd w:val="clear" w:color="auto" w:fill="1F3864"/>
            <w:tcMar>
              <w:top w:w="60" w:type="dxa"/>
              <w:left w:w="90" w:type="dxa"/>
              <w:bottom w:w="60" w:type="dxa"/>
              <w:right w:w="90" w:type="dxa"/>
            </w:tcMar>
            <w:vAlign w:val="center"/>
          </w:tcPr>
          <w:p w14:paraId="4F0425C9" w14:textId="77777777" w:rsidR="005962C0" w:rsidRDefault="00000000">
            <w:r>
              <w:rPr>
                <w:b/>
                <w:bCs/>
                <w:color w:val="FFFFFF"/>
                <w:sz w:val="19"/>
                <w:szCs w:val="19"/>
              </w:rPr>
              <w:t>Why / Quick Action</w:t>
            </w:r>
          </w:p>
        </w:tc>
      </w:tr>
      <w:tr w:rsidR="005962C0" w14:paraId="7E78372D"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tcPr>
          <w:p w14:paraId="0F400DB1" w14:textId="77777777" w:rsidR="005962C0" w:rsidRDefault="00000000">
            <w:r>
              <w:rPr>
                <w:b/>
                <w:bCs/>
                <w:sz w:val="19"/>
                <w:szCs w:val="19"/>
              </w:rPr>
              <w:t>R-006</w:t>
            </w:r>
          </w:p>
        </w:tc>
        <w:tc>
          <w:tcPr>
            <w:tcW w:w="210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tcPr>
          <w:p w14:paraId="2759FBEB" w14:textId="77777777" w:rsidR="005962C0" w:rsidRDefault="00000000">
            <w:r>
              <w:rPr>
                <w:sz w:val="19"/>
                <w:szCs w:val="19"/>
              </w:rPr>
              <w:t>Key ADC talent attrition</w:t>
            </w:r>
          </w:p>
        </w:tc>
        <w:tc>
          <w:tcPr>
            <w:tcW w:w="95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tcPr>
          <w:p w14:paraId="42223E30" w14:textId="77777777" w:rsidR="005962C0" w:rsidRDefault="00000000">
            <w:r>
              <w:rPr>
                <w:sz w:val="19"/>
                <w:szCs w:val="19"/>
              </w:rPr>
              <w:t>72 (Critical)</w:t>
            </w:r>
          </w:p>
        </w:tc>
        <w:tc>
          <w:tcPr>
            <w:tcW w:w="1500" w:type="dxa"/>
            <w:tcBorders>
              <w:top w:val="single" w:sz="1" w:space="0" w:color="999999"/>
              <w:left w:val="single" w:sz="1" w:space="0" w:color="999999"/>
              <w:bottom w:val="single" w:sz="1" w:space="0" w:color="999999"/>
              <w:right w:val="single" w:sz="1" w:space="0" w:color="999999"/>
            </w:tcBorders>
            <w:shd w:val="clear" w:color="auto" w:fill="FCE4D6"/>
            <w:tcMar>
              <w:top w:w="60" w:type="dxa"/>
              <w:left w:w="90" w:type="dxa"/>
              <w:bottom w:w="60" w:type="dxa"/>
              <w:right w:w="90" w:type="dxa"/>
            </w:tcMar>
          </w:tcPr>
          <w:p w14:paraId="36B88CC8" w14:textId="77777777" w:rsidR="005962C0" w:rsidRDefault="00000000">
            <w:r>
              <w:rPr>
                <w:b/>
                <w:bCs/>
                <w:sz w:val="19"/>
                <w:szCs w:val="19"/>
              </w:rPr>
              <w:t>Mitigate</w:t>
            </w:r>
          </w:p>
        </w:tc>
        <w:tc>
          <w:tcPr>
            <w:tcW w:w="411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tcPr>
          <w:p w14:paraId="60FDAA39" w14:textId="77777777" w:rsidR="005962C0" w:rsidRDefault="00000000">
            <w:r>
              <w:rPr>
                <w:sz w:val="19"/>
                <w:szCs w:val="19"/>
              </w:rPr>
              <w:t>Can't avoid it (already own the people risk) and can't insure tacit linker-payload knowledge. Our Monte Carlo put this at 55% probability — the highest of the three we modeled — and Array BioPharma lost a big chunk of scientists within 18 months of its 2019 deal, so this felt urgent. Plan: 24-month retention equity, keep Bothell R&amp;D independent instead of folding it into Pfizer, assign execs as sponsors to the most critical scientists, watch the monthly attrition KRI (amber 5–8%, red &gt;8%).</w:t>
            </w:r>
          </w:p>
        </w:tc>
      </w:tr>
      <w:tr w:rsidR="005962C0" w14:paraId="542801FD"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tcPr>
          <w:p w14:paraId="64E9BDD2" w14:textId="77777777" w:rsidR="005962C0" w:rsidRDefault="00000000">
            <w:r>
              <w:rPr>
                <w:b/>
                <w:bCs/>
                <w:sz w:val="19"/>
                <w:szCs w:val="19"/>
              </w:rPr>
              <w:t>R-MSE</w:t>
            </w:r>
          </w:p>
        </w:tc>
        <w:tc>
          <w:tcPr>
            <w:tcW w:w="210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tcPr>
          <w:p w14:paraId="76240085" w14:textId="77777777" w:rsidR="005962C0" w:rsidRDefault="00000000">
            <w:r>
              <w:rPr>
                <w:sz w:val="19"/>
                <w:szCs w:val="19"/>
              </w:rPr>
              <w:t>ADC market-share erosion</w:t>
            </w:r>
          </w:p>
        </w:tc>
        <w:tc>
          <w:tcPr>
            <w:tcW w:w="95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tcPr>
          <w:p w14:paraId="5E34E959" w14:textId="77777777" w:rsidR="005962C0" w:rsidRDefault="00000000">
            <w:r>
              <w:rPr>
                <w:sz w:val="19"/>
                <w:szCs w:val="19"/>
              </w:rPr>
              <w:t>63 (High)</w:t>
            </w:r>
          </w:p>
        </w:tc>
        <w:tc>
          <w:tcPr>
            <w:tcW w:w="1500" w:type="dxa"/>
            <w:tcBorders>
              <w:top w:val="single" w:sz="1" w:space="0" w:color="999999"/>
              <w:left w:val="single" w:sz="1" w:space="0" w:color="999999"/>
              <w:bottom w:val="single" w:sz="1" w:space="0" w:color="999999"/>
              <w:right w:val="single" w:sz="1" w:space="0" w:color="999999"/>
            </w:tcBorders>
            <w:shd w:val="clear" w:color="auto" w:fill="FCE4D6"/>
            <w:tcMar>
              <w:top w:w="60" w:type="dxa"/>
              <w:left w:w="90" w:type="dxa"/>
              <w:bottom w:w="60" w:type="dxa"/>
              <w:right w:w="90" w:type="dxa"/>
            </w:tcMar>
          </w:tcPr>
          <w:p w14:paraId="2EE8DF10" w14:textId="77777777" w:rsidR="005962C0" w:rsidRDefault="00000000">
            <w:r>
              <w:rPr>
                <w:b/>
                <w:bCs/>
                <w:sz w:val="19"/>
                <w:szCs w:val="19"/>
              </w:rPr>
              <w:t>Mitigate + accept residual</w:t>
            </w:r>
          </w:p>
        </w:tc>
        <w:tc>
          <w:tcPr>
            <w:tcW w:w="411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tcPr>
          <w:p w14:paraId="36C23996" w14:textId="77777777" w:rsidR="005962C0" w:rsidRDefault="00000000">
            <w:r>
              <w:rPr>
                <w:sz w:val="19"/>
                <w:szCs w:val="19"/>
              </w:rPr>
              <w:t>Biggest dollar exposure we modeled — $2.66B expected loss, $6.67B at P90. It's competitive pressure from outside the company, so full avoidance isn't realistic, and there's no insurance for lost market share. We use the I&amp;W indicators (competitor approvals, Phase 3 starts) and escalate past a 5%/year share decline or 3+ competitor approvals; anything inside that band we treat as a normal cost of competing.</w:t>
            </w:r>
          </w:p>
        </w:tc>
      </w:tr>
      <w:tr w:rsidR="005962C0" w14:paraId="62887268"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tcPr>
          <w:p w14:paraId="1DE1203A" w14:textId="77777777" w:rsidR="005962C0" w:rsidRDefault="00000000">
            <w:r>
              <w:rPr>
                <w:b/>
                <w:bCs/>
                <w:sz w:val="19"/>
                <w:szCs w:val="19"/>
              </w:rPr>
              <w:t>R-002</w:t>
            </w:r>
          </w:p>
        </w:tc>
        <w:tc>
          <w:tcPr>
            <w:tcW w:w="210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tcPr>
          <w:p w14:paraId="609E1853" w14:textId="77777777" w:rsidR="005962C0" w:rsidRDefault="00000000">
            <w:r>
              <w:rPr>
                <w:sz w:val="19"/>
                <w:szCs w:val="19"/>
              </w:rPr>
              <w:t>Miss $10B 2030 revenue target</w:t>
            </w:r>
          </w:p>
        </w:tc>
        <w:tc>
          <w:tcPr>
            <w:tcW w:w="95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tcPr>
          <w:p w14:paraId="2C181E64" w14:textId="77777777" w:rsidR="005962C0" w:rsidRDefault="00000000">
            <w:r>
              <w:rPr>
                <w:sz w:val="19"/>
                <w:szCs w:val="19"/>
              </w:rPr>
              <w:t>63 (High)</w:t>
            </w:r>
          </w:p>
        </w:tc>
        <w:tc>
          <w:tcPr>
            <w:tcW w:w="1500" w:type="dxa"/>
            <w:tcBorders>
              <w:top w:val="single" w:sz="1" w:space="0" w:color="999999"/>
              <w:left w:val="single" w:sz="1" w:space="0" w:color="999999"/>
              <w:bottom w:val="single" w:sz="1" w:space="0" w:color="999999"/>
              <w:right w:val="single" w:sz="1" w:space="0" w:color="999999"/>
            </w:tcBorders>
            <w:shd w:val="clear" w:color="auto" w:fill="FCE4D6"/>
            <w:tcMar>
              <w:top w:w="60" w:type="dxa"/>
              <w:left w:w="90" w:type="dxa"/>
              <w:bottom w:w="60" w:type="dxa"/>
              <w:right w:w="90" w:type="dxa"/>
            </w:tcMar>
          </w:tcPr>
          <w:p w14:paraId="3452ADEF" w14:textId="77777777" w:rsidR="005962C0" w:rsidRDefault="00000000">
            <w:r>
              <w:rPr>
                <w:b/>
                <w:bCs/>
                <w:sz w:val="19"/>
                <w:szCs w:val="19"/>
              </w:rPr>
              <w:t>Mitigate</w:t>
            </w:r>
          </w:p>
        </w:tc>
        <w:tc>
          <w:tcPr>
            <w:tcW w:w="411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tcPr>
          <w:p w14:paraId="62E767DD" w14:textId="77777777" w:rsidR="005962C0" w:rsidRDefault="00000000">
            <w:r>
              <w:rPr>
                <w:sz w:val="19"/>
                <w:szCs w:val="19"/>
              </w:rPr>
              <w:t>2025 actuals ($3.457B across the four marketed products) are already well behind the run-rate needed by 2030, and a 10% miss alone drops deal value from $44.19B to $39.77B. Since this is mostly about execution, not bad luck, we push ex-US commercialization harder, track the quarterly revenue-vs-plan KRI (green ≥95%), and build the IRA pricing hit into the base model instead of treating it as a side scenario.</w:t>
            </w:r>
          </w:p>
        </w:tc>
      </w:tr>
      <w:tr w:rsidR="005962C0" w14:paraId="2FD7D5E2"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tcPr>
          <w:p w14:paraId="2799F9EB" w14:textId="77777777" w:rsidR="005962C0" w:rsidRDefault="00000000">
            <w:r>
              <w:rPr>
                <w:b/>
                <w:bCs/>
                <w:sz w:val="19"/>
                <w:szCs w:val="19"/>
              </w:rPr>
              <w:t>R-001</w:t>
            </w:r>
          </w:p>
        </w:tc>
        <w:tc>
          <w:tcPr>
            <w:tcW w:w="210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tcPr>
          <w:p w14:paraId="591562B1" w14:textId="77777777" w:rsidR="005962C0" w:rsidRDefault="00000000">
            <w:r>
              <w:rPr>
                <w:sz w:val="19"/>
                <w:szCs w:val="19"/>
              </w:rPr>
              <w:t>Interest coverage drops too low</w:t>
            </w:r>
          </w:p>
        </w:tc>
        <w:tc>
          <w:tcPr>
            <w:tcW w:w="95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tcPr>
          <w:p w14:paraId="24781497" w14:textId="77777777" w:rsidR="005962C0" w:rsidRDefault="00000000">
            <w:r>
              <w:rPr>
                <w:sz w:val="19"/>
                <w:szCs w:val="19"/>
              </w:rPr>
              <w:t>63 (High)</w:t>
            </w:r>
          </w:p>
        </w:tc>
        <w:tc>
          <w:tcPr>
            <w:tcW w:w="1500" w:type="dxa"/>
            <w:tcBorders>
              <w:top w:val="single" w:sz="1" w:space="0" w:color="999999"/>
              <w:left w:val="single" w:sz="1" w:space="0" w:color="999999"/>
              <w:bottom w:val="single" w:sz="1" w:space="0" w:color="999999"/>
              <w:right w:val="single" w:sz="1" w:space="0" w:color="999999"/>
            </w:tcBorders>
            <w:shd w:val="clear" w:color="auto" w:fill="FCE4D6"/>
            <w:tcMar>
              <w:top w:w="60" w:type="dxa"/>
              <w:left w:w="90" w:type="dxa"/>
              <w:bottom w:w="60" w:type="dxa"/>
              <w:right w:w="90" w:type="dxa"/>
            </w:tcMar>
          </w:tcPr>
          <w:p w14:paraId="2DBABB19" w14:textId="77777777" w:rsidR="005962C0" w:rsidRDefault="00000000">
            <w:r>
              <w:rPr>
                <w:b/>
                <w:bCs/>
                <w:sz w:val="19"/>
                <w:szCs w:val="19"/>
              </w:rPr>
              <w:t>Mitigate</w:t>
            </w:r>
          </w:p>
        </w:tc>
        <w:tc>
          <w:tcPr>
            <w:tcW w:w="411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tcPr>
          <w:p w14:paraId="6FA88A8A" w14:textId="77777777" w:rsidR="005962C0" w:rsidRDefault="00000000">
            <w:r>
              <w:rPr>
                <w:sz w:val="19"/>
                <w:szCs w:val="19"/>
              </w:rPr>
              <w:t>The $31B in debt is already issued, so this can't be avoided at this point, and hedging only helps with rates, not the underlying EBIT sensitivity. Severe stress (EBIT -35%, rates +15%) pushes coverage to 0.84x, below the 1.0x line where Pfizer can't service its own debt — and Moody's/S&amp;P already downgraded the company once. We track the monthly coverage KRI (amber 1.2x, red 1.0x) and have CAPEX deferral ready to trigger automatically if it drifts toward amber.</w:t>
            </w:r>
          </w:p>
        </w:tc>
      </w:tr>
      <w:tr w:rsidR="005962C0" w14:paraId="52401A72"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tcPr>
          <w:p w14:paraId="0634FB6C" w14:textId="77777777" w:rsidR="005962C0" w:rsidRDefault="00000000">
            <w:r>
              <w:rPr>
                <w:b/>
                <w:bCs/>
                <w:sz w:val="19"/>
                <w:szCs w:val="19"/>
              </w:rPr>
              <w:t>R-003</w:t>
            </w:r>
          </w:p>
        </w:tc>
        <w:tc>
          <w:tcPr>
            <w:tcW w:w="210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tcPr>
          <w:p w14:paraId="399E1A2D" w14:textId="77777777" w:rsidR="005962C0" w:rsidRDefault="00000000">
            <w:r>
              <w:rPr>
                <w:sz w:val="19"/>
                <w:szCs w:val="19"/>
              </w:rPr>
              <w:t>IRA price negotiation hits ADCs</w:t>
            </w:r>
          </w:p>
        </w:tc>
        <w:tc>
          <w:tcPr>
            <w:tcW w:w="95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tcPr>
          <w:p w14:paraId="015F162E" w14:textId="77777777" w:rsidR="005962C0" w:rsidRDefault="00000000">
            <w:r>
              <w:rPr>
                <w:sz w:val="19"/>
                <w:szCs w:val="19"/>
              </w:rPr>
              <w:t>64 (High)</w:t>
            </w:r>
          </w:p>
        </w:tc>
        <w:tc>
          <w:tcPr>
            <w:tcW w:w="1500" w:type="dxa"/>
            <w:tcBorders>
              <w:top w:val="single" w:sz="1" w:space="0" w:color="999999"/>
              <w:left w:val="single" w:sz="1" w:space="0" w:color="999999"/>
              <w:bottom w:val="single" w:sz="1" w:space="0" w:color="999999"/>
              <w:right w:val="single" w:sz="1" w:space="0" w:color="999999"/>
            </w:tcBorders>
            <w:shd w:val="clear" w:color="auto" w:fill="FFF2CC"/>
            <w:tcMar>
              <w:top w:w="60" w:type="dxa"/>
              <w:left w:w="90" w:type="dxa"/>
              <w:bottom w:w="60" w:type="dxa"/>
              <w:right w:w="90" w:type="dxa"/>
            </w:tcMar>
          </w:tcPr>
          <w:p w14:paraId="37E2906B" w14:textId="77777777" w:rsidR="005962C0" w:rsidRDefault="00000000">
            <w:r>
              <w:rPr>
                <w:b/>
                <w:bCs/>
                <w:sz w:val="19"/>
                <w:szCs w:val="19"/>
              </w:rPr>
              <w:t>Accept (+ manage timing)</w:t>
            </w:r>
          </w:p>
        </w:tc>
        <w:tc>
          <w:tcPr>
            <w:tcW w:w="411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tcPr>
          <w:p w14:paraId="09CB2B12" w14:textId="77777777" w:rsidR="005962C0" w:rsidRDefault="00000000">
            <w:r>
              <w:rPr>
                <w:sz w:val="19"/>
                <w:szCs w:val="19"/>
              </w:rPr>
              <w:t xml:space="preserve">The Third Circuit shut down AstraZeneca's IRA legal challenge in May 2025, so there's genuinely no avoidance path left, and nobody insures against federal price negotiation. The IRA rollout (15 drugs 2027, 20/year from 2029) is fixed and outside our control either way. </w:t>
            </w:r>
            <w:proofErr w:type="gramStart"/>
            <w:r>
              <w:rPr>
                <w:sz w:val="19"/>
                <w:szCs w:val="19"/>
              </w:rPr>
              <w:t>So</w:t>
            </w:r>
            <w:proofErr w:type="gramEnd"/>
            <w:r>
              <w:rPr>
                <w:sz w:val="19"/>
                <w:szCs w:val="19"/>
              </w:rPr>
              <w:t xml:space="preserve"> we accept the $1–3B hit as a planning input, but still push lifecycle management to reset exclusivity clocks where we legally can, and keep government affairs engaged through PhRMA on future negotiation criteria.</w:t>
            </w:r>
          </w:p>
        </w:tc>
      </w:tr>
      <w:tr w:rsidR="005962C0" w14:paraId="393BBCC4"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tcPr>
          <w:p w14:paraId="00435724" w14:textId="77777777" w:rsidR="005962C0" w:rsidRDefault="00000000">
            <w:r>
              <w:rPr>
                <w:b/>
                <w:bCs/>
                <w:sz w:val="19"/>
                <w:szCs w:val="19"/>
              </w:rPr>
              <w:lastRenderedPageBreak/>
              <w:t>R-010</w:t>
            </w:r>
          </w:p>
        </w:tc>
        <w:tc>
          <w:tcPr>
            <w:tcW w:w="210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tcPr>
          <w:p w14:paraId="3272BDBF" w14:textId="77777777" w:rsidR="005962C0" w:rsidRDefault="00000000">
            <w:r>
              <w:rPr>
                <w:sz w:val="19"/>
                <w:szCs w:val="19"/>
              </w:rPr>
              <w:t>ADC combo therapy first-mover edge</w:t>
            </w:r>
          </w:p>
        </w:tc>
        <w:tc>
          <w:tcPr>
            <w:tcW w:w="95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tcPr>
          <w:p w14:paraId="76E60EAB" w14:textId="77777777" w:rsidR="005962C0" w:rsidRDefault="00000000">
            <w:r>
              <w:rPr>
                <w:sz w:val="19"/>
                <w:szCs w:val="19"/>
              </w:rPr>
              <w:t>56 (High, opportunity)</w:t>
            </w:r>
          </w:p>
        </w:tc>
        <w:tc>
          <w:tcPr>
            <w:tcW w:w="1500" w:type="dxa"/>
            <w:tcBorders>
              <w:top w:val="single" w:sz="1" w:space="0" w:color="999999"/>
              <w:left w:val="single" w:sz="1" w:space="0" w:color="999999"/>
              <w:bottom w:val="single" w:sz="1" w:space="0" w:color="999999"/>
              <w:right w:val="single" w:sz="1" w:space="0" w:color="999999"/>
            </w:tcBorders>
            <w:shd w:val="clear" w:color="auto" w:fill="D9EAD3"/>
            <w:tcMar>
              <w:top w:w="60" w:type="dxa"/>
              <w:left w:w="90" w:type="dxa"/>
              <w:bottom w:w="60" w:type="dxa"/>
              <w:right w:w="90" w:type="dxa"/>
            </w:tcMar>
          </w:tcPr>
          <w:p w14:paraId="72CDACE1" w14:textId="77777777" w:rsidR="005962C0" w:rsidRDefault="00000000">
            <w:r>
              <w:rPr>
                <w:b/>
                <w:bCs/>
                <w:sz w:val="19"/>
                <w:szCs w:val="19"/>
              </w:rPr>
              <w:t>Exploit</w:t>
            </w:r>
          </w:p>
        </w:tc>
        <w:tc>
          <w:tcPr>
            <w:tcW w:w="411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tcPr>
          <w:p w14:paraId="576E3031" w14:textId="77777777" w:rsidR="005962C0" w:rsidRDefault="00000000">
            <w:r>
              <w:rPr>
                <w:sz w:val="19"/>
                <w:szCs w:val="19"/>
              </w:rPr>
              <w:t xml:space="preserve">This is the one risk on our list that's upside, not downside, so the usual avoid/mitigate/transfer/accept menu doesn't really apply — the right move is to chase it. Monte Carlo gave us 50% probability with $0.83B expected upside, and no competitor currently holds both </w:t>
            </w:r>
            <w:proofErr w:type="spellStart"/>
            <w:r>
              <w:rPr>
                <w:sz w:val="19"/>
                <w:szCs w:val="19"/>
              </w:rPr>
              <w:t>Seagen's</w:t>
            </w:r>
            <w:proofErr w:type="spellEnd"/>
            <w:r>
              <w:rPr>
                <w:sz w:val="19"/>
                <w:szCs w:val="19"/>
              </w:rPr>
              <w:t xml:space="preserve"> platform and Pfizer's antibody library at once. Window is only 24–36 months, so we want to hit ≥4 new combo programs per quarter and lock in academic partnerships (MD Anderson, Sloan Kettering, Dana-Farber) before rivals catch up.</w:t>
            </w:r>
          </w:p>
        </w:tc>
      </w:tr>
    </w:tbl>
    <w:p w14:paraId="43C5736F" w14:textId="77777777" w:rsidR="005962C0" w:rsidRDefault="005962C0">
      <w:pPr>
        <w:spacing w:before="220"/>
      </w:pPr>
    </w:p>
    <w:p w14:paraId="08EA4710" w14:textId="77777777" w:rsidR="005962C0" w:rsidRDefault="00000000">
      <w:pPr>
        <w:pStyle w:val="Heading1"/>
      </w:pPr>
      <w:r>
        <w:rPr>
          <w:sz w:val="26"/>
          <w:szCs w:val="26"/>
        </w:rPr>
        <w:t>Quick Takeaway</w:t>
      </w:r>
    </w:p>
    <w:p w14:paraId="1EB4ED35" w14:textId="77777777" w:rsidR="005962C0" w:rsidRDefault="00000000">
      <w:pPr>
        <w:spacing w:after="100"/>
        <w:jc w:val="both"/>
      </w:pPr>
      <w:r>
        <w:rPr>
          <w:sz w:val="21"/>
          <w:szCs w:val="21"/>
        </w:rPr>
        <w:t xml:space="preserve">Most of these land on mitigate, basically because the </w:t>
      </w:r>
      <w:proofErr w:type="gramStart"/>
      <w:r>
        <w:rPr>
          <w:sz w:val="21"/>
          <w:szCs w:val="21"/>
        </w:rPr>
        <w:t>deal's</w:t>
      </w:r>
      <w:proofErr w:type="gramEnd"/>
      <w:r>
        <w:rPr>
          <w:sz w:val="21"/>
          <w:szCs w:val="21"/>
        </w:rPr>
        <w:t xml:space="preserve"> already closed — avoidance isn't really an option anymore for talent loss, market share, the revenue target, or the debt load, since those are all downstream of a decision Pfizer already made. R-003 is the one true exception, since the courts genuinely closed that door, so accepting it and managing the timing was the more honest call than pretending we could mitigate our way out of a fixed federal policy. R-010 is the one place we get to play offense instead of defense, and it's a good reminder that this exercise isn't only about plugging holes — some of the planning has to go toward actually capturing the upside the deal created.</w:t>
      </w:r>
    </w:p>
    <w:sectPr w:rsidR="005962C0">
      <w:pgSz w:w="12240" w:h="15840" w:orient="landscape"/>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C1F69"/>
    <w:multiLevelType w:val="hybridMultilevel"/>
    <w:tmpl w:val="92D46440"/>
    <w:lvl w:ilvl="0" w:tplc="8280D6CA">
      <w:start w:val="1"/>
      <w:numFmt w:val="bullet"/>
      <w:lvlText w:val="●"/>
      <w:lvlJc w:val="left"/>
      <w:pPr>
        <w:ind w:left="720" w:hanging="360"/>
      </w:pPr>
    </w:lvl>
    <w:lvl w:ilvl="1" w:tplc="840E95CE">
      <w:start w:val="1"/>
      <w:numFmt w:val="bullet"/>
      <w:lvlText w:val="○"/>
      <w:lvlJc w:val="left"/>
      <w:pPr>
        <w:ind w:left="1440" w:hanging="360"/>
      </w:pPr>
    </w:lvl>
    <w:lvl w:ilvl="2" w:tplc="962EE926">
      <w:start w:val="1"/>
      <w:numFmt w:val="bullet"/>
      <w:lvlText w:val="■"/>
      <w:lvlJc w:val="left"/>
      <w:pPr>
        <w:ind w:left="2160" w:hanging="360"/>
      </w:pPr>
    </w:lvl>
    <w:lvl w:ilvl="3" w:tplc="1E3A01A4">
      <w:start w:val="1"/>
      <w:numFmt w:val="bullet"/>
      <w:lvlText w:val="●"/>
      <w:lvlJc w:val="left"/>
      <w:pPr>
        <w:ind w:left="2880" w:hanging="360"/>
      </w:pPr>
    </w:lvl>
    <w:lvl w:ilvl="4" w:tplc="524ECB0C">
      <w:start w:val="1"/>
      <w:numFmt w:val="bullet"/>
      <w:lvlText w:val="○"/>
      <w:lvlJc w:val="left"/>
      <w:pPr>
        <w:ind w:left="3600" w:hanging="360"/>
      </w:pPr>
    </w:lvl>
    <w:lvl w:ilvl="5" w:tplc="1C1804B6">
      <w:start w:val="1"/>
      <w:numFmt w:val="bullet"/>
      <w:lvlText w:val="■"/>
      <w:lvlJc w:val="left"/>
      <w:pPr>
        <w:ind w:left="4320" w:hanging="360"/>
      </w:pPr>
    </w:lvl>
    <w:lvl w:ilvl="6" w:tplc="07B29BC4">
      <w:start w:val="1"/>
      <w:numFmt w:val="bullet"/>
      <w:lvlText w:val="●"/>
      <w:lvlJc w:val="left"/>
      <w:pPr>
        <w:ind w:left="5040" w:hanging="360"/>
      </w:pPr>
    </w:lvl>
    <w:lvl w:ilvl="7" w:tplc="1AF0ADBA">
      <w:start w:val="1"/>
      <w:numFmt w:val="bullet"/>
      <w:lvlText w:val="●"/>
      <w:lvlJc w:val="left"/>
      <w:pPr>
        <w:ind w:left="5760" w:hanging="360"/>
      </w:pPr>
    </w:lvl>
    <w:lvl w:ilvl="8" w:tplc="484CF7F8">
      <w:start w:val="1"/>
      <w:numFmt w:val="bullet"/>
      <w:lvlText w:val="●"/>
      <w:lvlJc w:val="left"/>
      <w:pPr>
        <w:ind w:left="6480" w:hanging="360"/>
      </w:pPr>
    </w:lvl>
  </w:abstractNum>
  <w:num w:numId="1" w16cid:durableId="9620040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2C0"/>
    <w:rsid w:val="003A5ADB"/>
    <w:rsid w:val="005962C0"/>
    <w:rsid w:val="00C01A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09206"/>
  <w15:docId w15:val="{2733C46E-8D97-40BA-B662-87597F2C8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643</Words>
  <Characters>3667</Characters>
  <Application>Microsoft Office Word</Application>
  <DocSecurity>0</DocSecurity>
  <Lines>30</Lines>
  <Paragraphs>8</Paragraphs>
  <ScaleCrop>false</ScaleCrop>
  <Company/>
  <LinksUpToDate>false</LinksUpToDate>
  <CharactersWithSpaces>4302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Amaka Mary Nduka</cp:lastModifiedBy>
  <cp:revision>2</cp:revision>
  <dcterms:created xsi:type="dcterms:W3CDTF">2026-06-19T22:38:00Z</dcterms:created>
  <dcterms:modified xsi:type="dcterms:W3CDTF">2026-06-19T22:42:00Z</dcterms:modified>
</cp:coreProperties>
</file>