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1FE6" w:rsidRPr="00ED1FE6" w:rsidRDefault="00ED1FE6" w:rsidP="00ED1FE6">
      <w:pPr>
        <w:spacing w:after="40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b/>
          <w:bCs/>
          <w:color w:val="1F3864"/>
          <w:sz w:val="28"/>
          <w:szCs w:val="28"/>
        </w:rPr>
        <w:t>Quantitative Risk Assessment Using the Indicators &amp; Warning (I&amp;W) Technique</w:t>
      </w:r>
    </w:p>
    <w:p w:rsidR="00ED1FE6" w:rsidRPr="00ED1FE6" w:rsidRDefault="00ED1FE6" w:rsidP="00ED1FE6">
      <w:pPr>
        <w:pBdr>
          <w:bottom w:val="single" w:sz="6" w:space="2" w:color="1F3864"/>
        </w:pBdr>
        <w:spacing w:after="160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color w:val="595959"/>
          <w:sz w:val="20"/>
          <w:szCs w:val="20"/>
        </w:rPr>
        <w:t xml:space="preserve">Pfizer Inc. / </w:t>
      </w:r>
      <w:proofErr w:type="spellStart"/>
      <w:r w:rsidRPr="00ED1FE6">
        <w:rPr>
          <w:rFonts w:ascii="Times New Roman" w:hAnsi="Times New Roman" w:cs="Times New Roman"/>
          <w:color w:val="595959"/>
          <w:sz w:val="20"/>
          <w:szCs w:val="20"/>
        </w:rPr>
        <w:t>Seagen</w:t>
      </w:r>
      <w:proofErr w:type="spellEnd"/>
      <w:r w:rsidRPr="00ED1FE6">
        <w:rPr>
          <w:rFonts w:ascii="Times New Roman" w:hAnsi="Times New Roman" w:cs="Times New Roman"/>
          <w:color w:val="595959"/>
          <w:sz w:val="20"/>
          <w:szCs w:val="20"/>
        </w:rPr>
        <w:t xml:space="preserve"> Acquisition  |  Group 10  |  Module 3</w:t>
      </w:r>
    </w:p>
    <w:p w:rsidR="00ED1FE6" w:rsidRPr="00ED1FE6" w:rsidRDefault="00ED1FE6" w:rsidP="00ED1FE6">
      <w:pPr>
        <w:pStyle w:val="Heading1"/>
        <w:spacing w:before="120" w:after="160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b/>
          <w:bCs/>
          <w:color w:val="1F3864"/>
          <w:sz w:val="28"/>
          <w:szCs w:val="28"/>
        </w:rPr>
        <w:t>Appendix A Quantitative Model (Monte Carlo Notebook)</w:t>
      </w:r>
    </w:p>
    <w:p w:rsidR="00ED1FE6" w:rsidRPr="00ED1FE6" w:rsidRDefault="00ED1FE6" w:rsidP="00ED1FE6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sz w:val="20"/>
          <w:szCs w:val="20"/>
        </w:rPr>
        <w:t xml:space="preserve">The full model is available as the runnable </w:t>
      </w:r>
      <w:proofErr w:type="spellStart"/>
      <w:r w:rsidRPr="00ED1FE6">
        <w:rPr>
          <w:rFonts w:ascii="Times New Roman" w:hAnsi="Times New Roman" w:cs="Times New Roman"/>
          <w:sz w:val="20"/>
          <w:szCs w:val="20"/>
        </w:rPr>
        <w:t>Jupyter</w:t>
      </w:r>
      <w:proofErr w:type="spellEnd"/>
      <w:r w:rsidRPr="00ED1FE6">
        <w:rPr>
          <w:rFonts w:ascii="Times New Roman" w:hAnsi="Times New Roman" w:cs="Times New Roman"/>
          <w:sz w:val="20"/>
          <w:szCs w:val="20"/>
        </w:rPr>
        <w:t xml:space="preserve"> notebook Group10_M3_Quant_IW_MonteCarlo.ipynb. It defines the I&amp;W input parameters directly in the notebook, runs 100,000 Monte Carlo iterations per risk, and generates the four visualizations shown below. The results table is also saved on Google Drive.</w:t>
      </w:r>
    </w:p>
    <w:p w:rsidR="00ED1FE6" w:rsidRPr="00ED1FE6" w:rsidRDefault="00ED1FE6" w:rsidP="00ED1FE6">
      <w:pPr>
        <w:pStyle w:val="Heading2"/>
        <w:spacing w:before="160" w:after="100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b/>
          <w:bCs/>
          <w:color w:val="1F3864"/>
          <w:sz w:val="22"/>
          <w:szCs w:val="22"/>
        </w:rPr>
        <w:t>A.1  Simulation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300"/>
        <w:gridCol w:w="1140"/>
        <w:gridCol w:w="1140"/>
        <w:gridCol w:w="1140"/>
        <w:gridCol w:w="2140"/>
      </w:tblGrid>
      <w:tr w:rsidR="00ED1FE6" w:rsidRPr="00ED1FE6" w:rsidTr="00652173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Mean Prob.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Impact P50 ($B)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Exp. Loss/Value ($B)</w:t>
            </w:r>
          </w:p>
        </w:tc>
        <w:tc>
          <w:tcPr>
            <w:tcW w:w="2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Scenario </w:t>
            </w:r>
            <w:proofErr w:type="spellStart"/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VaR</w:t>
            </w:r>
            <w:proofErr w:type="spellEnd"/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P90 ($B)</w:t>
            </w:r>
          </w:p>
        </w:tc>
      </w:tr>
      <w:tr w:rsidR="00ED1FE6" w:rsidRPr="00ED1FE6" w:rsidTr="00652173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R-MSE ADC market-share erosion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Threat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53.3%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4.86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−2.66</w:t>
            </w:r>
          </w:p>
        </w:tc>
        <w:tc>
          <w:tcPr>
            <w:tcW w:w="2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6.67</w:t>
            </w:r>
          </w:p>
        </w:tc>
      </w:tr>
      <w:tr w:rsidR="00ED1FE6" w:rsidRPr="00ED1FE6" w:rsidTr="00652173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R-006 Critical ADC talent poaching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Threat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55.0%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0.65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−0.37</w:t>
            </w:r>
          </w:p>
        </w:tc>
        <w:tc>
          <w:tcPr>
            <w:tcW w:w="2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0.87</w:t>
            </w:r>
          </w:p>
        </w:tc>
      </w:tr>
      <w:tr w:rsidR="00ED1FE6" w:rsidRPr="00ED1FE6" w:rsidTr="00652173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R-010 First-mover ADC combinations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Opportunity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50.0%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1.64</w:t>
            </w:r>
          </w:p>
        </w:tc>
        <w:tc>
          <w:tcPr>
            <w:tcW w:w="1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+0.83</w:t>
            </w:r>
          </w:p>
        </w:tc>
        <w:tc>
          <w:tcPr>
            <w:tcW w:w="21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8"/>
                <w:szCs w:val="18"/>
              </w:rPr>
              <w:t>+1.95</w:t>
            </w:r>
          </w:p>
        </w:tc>
      </w:tr>
    </w:tbl>
    <w:p w:rsidR="00ED1FE6" w:rsidRPr="00ED1FE6" w:rsidRDefault="00ED1FE6" w:rsidP="00ED1FE6">
      <w:pPr>
        <w:spacing w:after="160"/>
        <w:rPr>
          <w:rFonts w:ascii="Times New Roman" w:hAnsi="Times New Roman" w:cs="Times New Roman"/>
        </w:rPr>
      </w:pPr>
    </w:p>
    <w:p w:rsidR="00ED1FE6" w:rsidRPr="00ED1FE6" w:rsidRDefault="00ED1FE6" w:rsidP="00ED1FE6">
      <w:pPr>
        <w:pStyle w:val="Heading2"/>
        <w:spacing w:before="160" w:after="100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b/>
          <w:bCs/>
          <w:color w:val="1F3864"/>
          <w:sz w:val="22"/>
          <w:szCs w:val="22"/>
        </w:rPr>
        <w:t>A.2  Core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1FE6" w:rsidRPr="00ED1FE6" w:rsidTr="00652173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import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numpy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as np, pandas as pd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rng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np.random.default_rng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(42);  N = 100_000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# I&amp;W parameters (triangular probability &amp; impact $B)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inp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pd.DataFrame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([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{'risk_id':'R-MSE','p_min':.30,'p_mode':.55,'p_max':.75,'imp_min':1.00,'imp_mode':4.42,'imp_max':9.57},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{'risk_id':'R-006','p_min':.35,'p_mode':.55,'p_max':.75,'imp_min':0.20,'imp_mode':0.60,'imp_max':1.20},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{'risk_id':'R-010','p_min':.30,'p_mode':.50,'p_max':.70,'imp_min':1.00,'imp_mode':1.50,'imp_max':2.50}])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def tri(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a,m,b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): return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rng.triangular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(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a,m,b,N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)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for _, r in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inp.iterrows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():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   p   = tri(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r.p_min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r.p_mode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r.p_max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)        # probability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   imp = tri(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r.imp_min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r.imp_mode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r.imp_max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)  # impact ($B)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el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 = p * imp                                # expected loss/value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scen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np.where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(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rng.random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(N) &lt; p, imp, 0.0) # scenario (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VaR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) view</w:t>
            </w:r>
          </w:p>
          <w:p w:rsidR="00ED1FE6" w:rsidRPr="00ED1FE6" w:rsidRDefault="00ED1FE6" w:rsidP="00652173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 xml:space="preserve">    # record mean(p), P50/P90(imp), mean(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el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), P90(</w:t>
            </w:r>
            <w:proofErr w:type="spellStart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scen</w:t>
            </w:r>
            <w:proofErr w:type="spellEnd"/>
            <w:r w:rsidRPr="00ED1FE6">
              <w:rPr>
                <w:rFonts w:ascii="Times New Roman" w:eastAsia="Courier New" w:hAnsi="Times New Roman" w:cs="Times New Roman"/>
                <w:sz w:val="16"/>
                <w:szCs w:val="16"/>
              </w:rPr>
              <w:t>) ...</w:t>
            </w:r>
          </w:p>
        </w:tc>
      </w:tr>
    </w:tbl>
    <w:p w:rsidR="00ED1FE6" w:rsidRPr="00ED1FE6" w:rsidRDefault="00ED1FE6" w:rsidP="00ED1FE6">
      <w:pPr>
        <w:pStyle w:val="Heading2"/>
        <w:spacing w:before="160" w:after="100"/>
        <w:rPr>
          <w:rFonts w:ascii="Times New Roman" w:hAnsi="Times New Roman" w:cs="Times New Roman"/>
          <w:b/>
          <w:bCs/>
          <w:color w:val="1F3864"/>
          <w:sz w:val="22"/>
          <w:szCs w:val="22"/>
        </w:rPr>
      </w:pPr>
    </w:p>
    <w:p w:rsidR="00ED1FE6" w:rsidRPr="00ED1FE6" w:rsidRDefault="00ED1FE6" w:rsidP="00ED1FE6">
      <w:pPr>
        <w:pStyle w:val="Heading2"/>
        <w:spacing w:before="160" w:after="100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b/>
          <w:bCs/>
          <w:color w:val="1F3864"/>
          <w:sz w:val="22"/>
          <w:szCs w:val="22"/>
        </w:rPr>
        <w:t>A.3  Visualizations</w:t>
      </w:r>
    </w:p>
    <w:p w:rsidR="00ED1FE6" w:rsidRPr="00ED1FE6" w:rsidRDefault="00ED1FE6" w:rsidP="00ED1FE6">
      <w:pPr>
        <w:spacing w:before="60" w:after="40"/>
        <w:jc w:val="center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noProof/>
        </w:rPr>
        <w:drawing>
          <wp:inline distT="0" distB="0" distL="0" distR="0" wp14:anchorId="410BB47C" wp14:editId="7917C89E">
            <wp:extent cx="4730115" cy="2480171"/>
            <wp:effectExtent l="0" t="0" r="0" b="0"/>
            <wp:docPr id="31805981" name="Picture 31805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027" cy="250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FE6" w:rsidRPr="00ED1FE6" w:rsidRDefault="00ED1FE6" w:rsidP="00ED1FE6">
      <w:pPr>
        <w:spacing w:after="200"/>
        <w:jc w:val="center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i/>
          <w:iCs/>
          <w:color w:val="595959"/>
          <w:sz w:val="18"/>
          <w:szCs w:val="18"/>
        </w:rPr>
        <w:lastRenderedPageBreak/>
        <w:t>Figure A-1. Monte Carlo expected loss/value distributions (100,000 iterations).</w:t>
      </w:r>
    </w:p>
    <w:p w:rsidR="00ED1FE6" w:rsidRPr="00ED1FE6" w:rsidRDefault="00ED1FE6" w:rsidP="00ED1FE6">
      <w:pPr>
        <w:spacing w:before="60" w:after="40"/>
        <w:jc w:val="center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noProof/>
        </w:rPr>
        <w:drawing>
          <wp:inline distT="0" distB="0" distL="0" distR="0" wp14:anchorId="207851DB" wp14:editId="42E90D29">
            <wp:extent cx="4923302" cy="2976880"/>
            <wp:effectExtent l="0" t="0" r="4445" b="0"/>
            <wp:docPr id="148027018" name="Picture 148027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662" cy="300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FE6" w:rsidRPr="00ED1FE6" w:rsidRDefault="00ED1FE6" w:rsidP="00ED1FE6">
      <w:pPr>
        <w:spacing w:after="200"/>
        <w:jc w:val="center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A-2. Quantitative risk matrix — probability vs. impact; bubble area = expected loss/value.</w:t>
      </w:r>
    </w:p>
    <w:p w:rsidR="00ED1FE6" w:rsidRPr="00ED1FE6" w:rsidRDefault="00ED1FE6" w:rsidP="00ED1FE6">
      <w:pPr>
        <w:spacing w:before="60" w:after="40"/>
        <w:jc w:val="center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noProof/>
        </w:rPr>
        <w:drawing>
          <wp:inline distT="0" distB="0" distL="0" distR="0" wp14:anchorId="01AAA621" wp14:editId="0AB3F75D">
            <wp:extent cx="4961160" cy="2734407"/>
            <wp:effectExtent l="0" t="0" r="5080" b="0"/>
            <wp:docPr id="61030034" name="Picture 6103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016" cy="275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FE6" w:rsidRPr="00ED1FE6" w:rsidRDefault="00ED1FE6" w:rsidP="00ED1FE6">
      <w:pPr>
        <w:spacing w:after="200"/>
        <w:jc w:val="center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A-3. Expected loss/value by risk; whiskers span EL P50 to P90.</w:t>
      </w:r>
    </w:p>
    <w:p w:rsidR="00ED1FE6" w:rsidRPr="00ED1FE6" w:rsidRDefault="00ED1FE6" w:rsidP="00ED1FE6">
      <w:pPr>
        <w:spacing w:before="60" w:after="40"/>
        <w:jc w:val="center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25672E" wp14:editId="76F4299D">
            <wp:extent cx="5280208" cy="2910254"/>
            <wp:effectExtent l="0" t="0" r="3175" b="0"/>
            <wp:docPr id="1569761516" name="Picture 156976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765" cy="294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FE6" w:rsidRPr="00ED1FE6" w:rsidRDefault="00ED1FE6" w:rsidP="00ED1FE6">
      <w:pPr>
        <w:spacing w:after="200"/>
        <w:jc w:val="center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A-4. Loss/value exceedance curves; the P90 point is the scenario value-at-risk.</w:t>
      </w:r>
    </w:p>
    <w:p w:rsidR="00ED1FE6" w:rsidRDefault="00ED1FE6" w:rsidP="00ED1FE6">
      <w:pPr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 w:rsidRPr="00ED1FE6">
        <w:rPr>
          <w:rFonts w:ascii="Times New Roman" w:hAnsi="Times New Roman" w:cs="Times New Roman"/>
          <w:b/>
          <w:bCs/>
          <w:color w:val="1F3864"/>
          <w:sz w:val="28"/>
          <w:szCs w:val="28"/>
        </w:rPr>
        <w:t>Appendix B Data Source (I&amp;W Input Parameters)</w:t>
      </w:r>
    </w:p>
    <w:p w:rsidR="00ED1FE6" w:rsidRPr="00ED1FE6" w:rsidRDefault="00ED1FE6" w:rsidP="00ED1FE6">
      <w:pPr>
        <w:rPr>
          <w:rFonts w:ascii="Times New Roman" w:hAnsi="Times New Roman" w:cs="Times New Roman"/>
        </w:rPr>
      </w:pPr>
    </w:p>
    <w:p w:rsidR="00ED1FE6" w:rsidRPr="00ED1FE6" w:rsidRDefault="00ED1FE6" w:rsidP="00ED1FE6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sz w:val="20"/>
          <w:szCs w:val="20"/>
        </w:rPr>
        <w:t>The inputs below are packaged as the data source file Group10_M3_IW_DataSource.csv and mirrored in the notebook. Each probability range is based on the risk’s I&amp;W indicator readings at the time of assessment; each impact range is tied directly to the Group 10 DCF model and the figures in the Risk Register.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400"/>
        <w:gridCol w:w="1700"/>
        <w:gridCol w:w="2760"/>
      </w:tblGrid>
      <w:tr w:rsidR="00ED1FE6" w:rsidRPr="00ED1FE6" w:rsidTr="00652173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Risk ID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Probability (min/mode/max)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Impact $B (min/mode/max)</w:t>
            </w:r>
          </w:p>
        </w:tc>
      </w:tr>
      <w:tr w:rsidR="00ED1FE6" w:rsidRPr="00ED1FE6" w:rsidTr="00652173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R-MSE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ADC market-share erosion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Threat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0.30 / 0.55 / 0.75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1.00 / 4.42 / 9.57</w:t>
            </w:r>
          </w:p>
        </w:tc>
      </w:tr>
      <w:tr w:rsidR="00ED1FE6" w:rsidRPr="00ED1FE6" w:rsidTr="00652173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R-006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Critical ADC talent poaching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Threat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0.35 / 0.55 / 0.75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0.20 / 0.60 / 1.20</w:t>
            </w:r>
          </w:p>
        </w:tc>
      </w:tr>
      <w:tr w:rsidR="00ED1FE6" w:rsidRPr="00ED1FE6" w:rsidTr="00652173"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R-010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First-mover ADC combination advantage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Opportunity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0.30 / 0.50 / 0.70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D1FE6" w:rsidRPr="00ED1FE6" w:rsidRDefault="00ED1FE6" w:rsidP="00652173">
            <w:pPr>
              <w:jc w:val="center"/>
              <w:rPr>
                <w:rFonts w:ascii="Times New Roman" w:hAnsi="Times New Roman" w:cs="Times New Roman"/>
              </w:rPr>
            </w:pPr>
            <w:r w:rsidRPr="00ED1FE6">
              <w:rPr>
                <w:rFonts w:ascii="Times New Roman" w:hAnsi="Times New Roman" w:cs="Times New Roman"/>
                <w:sz w:val="17"/>
                <w:szCs w:val="17"/>
              </w:rPr>
              <w:t>1.00 / 1.50 / 2.50</w:t>
            </w:r>
          </w:p>
        </w:tc>
      </w:tr>
    </w:tbl>
    <w:p w:rsidR="00ED1FE6" w:rsidRPr="00ED1FE6" w:rsidRDefault="00ED1FE6" w:rsidP="00ED1FE6">
      <w:pPr>
        <w:spacing w:after="160"/>
        <w:rPr>
          <w:rFonts w:ascii="Times New Roman" w:hAnsi="Times New Roman" w:cs="Times New Roman"/>
        </w:rPr>
      </w:pPr>
    </w:p>
    <w:p w:rsidR="00ED1FE6" w:rsidRPr="00ED1FE6" w:rsidRDefault="00ED1FE6" w:rsidP="00ED1FE6">
      <w:pPr>
        <w:pStyle w:val="Heading2"/>
        <w:spacing w:before="160" w:after="100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b/>
          <w:bCs/>
          <w:color w:val="1F3864"/>
          <w:sz w:val="22"/>
          <w:szCs w:val="22"/>
        </w:rPr>
        <w:t>Indicators, warning triggers, and provenance</w:t>
      </w:r>
    </w:p>
    <w:p w:rsidR="00ED1FE6" w:rsidRPr="00ED1FE6" w:rsidRDefault="00ED1FE6" w:rsidP="00ED1FE6">
      <w:pPr>
        <w:spacing w:after="80" w:line="264" w:lineRule="auto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sz w:val="20"/>
          <w:szCs w:val="20"/>
        </w:rPr>
        <w:t xml:space="preserve">R-MSE ADC market-share erosion. What we watch: competitor ADC approvals and Phase 3 starts; </w:t>
      </w:r>
      <w:proofErr w:type="spellStart"/>
      <w:r w:rsidRPr="00ED1FE6">
        <w:rPr>
          <w:rFonts w:ascii="Times New Roman" w:hAnsi="Times New Roman" w:cs="Times New Roman"/>
          <w:sz w:val="20"/>
          <w:szCs w:val="20"/>
        </w:rPr>
        <w:t>Seagen’s</w:t>
      </w:r>
      <w:proofErr w:type="spellEnd"/>
      <w:r w:rsidRPr="00ED1FE6">
        <w:rPr>
          <w:rFonts w:ascii="Times New Roman" w:hAnsi="Times New Roman" w:cs="Times New Roman"/>
          <w:sz w:val="20"/>
          <w:szCs w:val="20"/>
        </w:rPr>
        <w:t xml:space="preserve"> ADC share trend; </w:t>
      </w:r>
      <w:proofErr w:type="spellStart"/>
      <w:r w:rsidRPr="00ED1FE6">
        <w:rPr>
          <w:rFonts w:ascii="Times New Roman" w:hAnsi="Times New Roman" w:cs="Times New Roman"/>
          <w:sz w:val="20"/>
          <w:szCs w:val="20"/>
        </w:rPr>
        <w:t>Enhertu</w:t>
      </w:r>
      <w:proofErr w:type="spellEnd"/>
      <w:r w:rsidRPr="00ED1FE6">
        <w:rPr>
          <w:rFonts w:ascii="Times New Roman" w:hAnsi="Times New Roman" w:cs="Times New Roman"/>
          <w:sz w:val="20"/>
          <w:szCs w:val="20"/>
        </w:rPr>
        <w:t xml:space="preserve"> vs. PADCEV growth trajectory. Escalation trigger: </w:t>
      </w:r>
      <w:proofErr w:type="spellStart"/>
      <w:r w:rsidRPr="00ED1FE6">
        <w:rPr>
          <w:rFonts w:ascii="Times New Roman" w:hAnsi="Times New Roman" w:cs="Times New Roman"/>
          <w:sz w:val="20"/>
          <w:szCs w:val="20"/>
        </w:rPr>
        <w:t>Seagen</w:t>
      </w:r>
      <w:proofErr w:type="spellEnd"/>
      <w:r w:rsidRPr="00ED1FE6">
        <w:rPr>
          <w:rFonts w:ascii="Times New Roman" w:hAnsi="Times New Roman" w:cs="Times New Roman"/>
          <w:sz w:val="20"/>
          <w:szCs w:val="20"/>
        </w:rPr>
        <w:t xml:space="preserve"> ADC share falling more than 5% per year, or three or more competitor ADC approvals in a year. Where the data comes from: ClinicalTrials.gov, </w:t>
      </w:r>
      <w:proofErr w:type="spellStart"/>
      <w:r w:rsidRPr="00ED1FE6">
        <w:rPr>
          <w:rFonts w:ascii="Times New Roman" w:hAnsi="Times New Roman" w:cs="Times New Roman"/>
          <w:sz w:val="20"/>
          <w:szCs w:val="20"/>
        </w:rPr>
        <w:t>Drugs@FDA</w:t>
      </w:r>
      <w:proofErr w:type="spellEnd"/>
      <w:r w:rsidRPr="00ED1FE6">
        <w:rPr>
          <w:rFonts w:ascii="Times New Roman" w:hAnsi="Times New Roman" w:cs="Times New Roman"/>
          <w:sz w:val="20"/>
          <w:szCs w:val="20"/>
        </w:rPr>
        <w:t>, SEC EDGAR, Group 10 DCF model.</w:t>
      </w:r>
    </w:p>
    <w:p w:rsidR="00ED1FE6" w:rsidRPr="00ED1FE6" w:rsidRDefault="00ED1FE6" w:rsidP="00ED1FE6">
      <w:pPr>
        <w:spacing w:after="80" w:line="264" w:lineRule="auto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sz w:val="20"/>
          <w:szCs w:val="20"/>
        </w:rPr>
        <w:t xml:space="preserve">R-006 Critical ADC talent poaching. What we watch: </w:t>
      </w:r>
      <w:proofErr w:type="spellStart"/>
      <w:r w:rsidRPr="00ED1FE6">
        <w:rPr>
          <w:rFonts w:ascii="Times New Roman" w:hAnsi="Times New Roman" w:cs="Times New Roman"/>
          <w:sz w:val="20"/>
          <w:szCs w:val="20"/>
        </w:rPr>
        <w:t>annualised</w:t>
      </w:r>
      <w:proofErr w:type="spellEnd"/>
      <w:r w:rsidRPr="00ED1FE6">
        <w:rPr>
          <w:rFonts w:ascii="Times New Roman" w:hAnsi="Times New Roman" w:cs="Times New Roman"/>
          <w:sz w:val="20"/>
          <w:szCs w:val="20"/>
        </w:rPr>
        <w:t xml:space="preserve"> attrition among critical scientists; active recruitment by rival firms (AbbVie, Merck); retention-offer acceptance rates. Escalation trigger: </w:t>
      </w:r>
      <w:proofErr w:type="spellStart"/>
      <w:r w:rsidRPr="00ED1FE6">
        <w:rPr>
          <w:rFonts w:ascii="Times New Roman" w:hAnsi="Times New Roman" w:cs="Times New Roman"/>
          <w:sz w:val="20"/>
          <w:szCs w:val="20"/>
        </w:rPr>
        <w:t>annualised</w:t>
      </w:r>
      <w:proofErr w:type="spellEnd"/>
      <w:r w:rsidRPr="00ED1FE6">
        <w:rPr>
          <w:rFonts w:ascii="Times New Roman" w:hAnsi="Times New Roman" w:cs="Times New Roman"/>
          <w:sz w:val="20"/>
          <w:szCs w:val="20"/>
        </w:rPr>
        <w:t xml:space="preserve"> attrition above 8% hits red; 5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D1FE6">
        <w:rPr>
          <w:rFonts w:ascii="Times New Roman" w:hAnsi="Times New Roman" w:cs="Times New Roman"/>
          <w:sz w:val="20"/>
          <w:szCs w:val="20"/>
        </w:rPr>
        <w:t xml:space="preserve">8% sits at amber. Where the data comes from: Array BioPharma 2019 post-acquisition precedent, </w:t>
      </w:r>
      <w:proofErr w:type="spellStart"/>
      <w:r w:rsidRPr="00ED1FE6">
        <w:rPr>
          <w:rFonts w:ascii="Times New Roman" w:hAnsi="Times New Roman" w:cs="Times New Roman"/>
          <w:sz w:val="20"/>
          <w:szCs w:val="20"/>
        </w:rPr>
        <w:t>Munos</w:t>
      </w:r>
      <w:proofErr w:type="spellEnd"/>
      <w:r w:rsidRPr="00ED1FE6">
        <w:rPr>
          <w:rFonts w:ascii="Times New Roman" w:hAnsi="Times New Roman" w:cs="Times New Roman"/>
          <w:sz w:val="20"/>
          <w:szCs w:val="20"/>
        </w:rPr>
        <w:t xml:space="preserve"> (2009), Risk Register R-006.</w:t>
      </w:r>
    </w:p>
    <w:p w:rsidR="00ED1FE6" w:rsidRPr="00ED1FE6" w:rsidRDefault="00ED1FE6" w:rsidP="00ED1FE6">
      <w:pPr>
        <w:spacing w:after="120" w:line="264" w:lineRule="auto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sz w:val="20"/>
          <w:szCs w:val="20"/>
        </w:rPr>
        <w:t>R-010  First-mover ADC combination advantage. What we watch: new ADC combination programs initiated per quarter; academic partnership signings; competitor partnership announcements. Capture trigger: four or more new combination programs per quarter within the 24–36 month window signals the opportunity is being actively seized. Where the data comes from: Risk Register R-010, MD Anderson / Sloan Kettering / Dana-Farber pipeline data.</w:t>
      </w:r>
    </w:p>
    <w:p w:rsidR="00ED1FE6" w:rsidRPr="00ED1FE6" w:rsidRDefault="00ED1FE6" w:rsidP="00ED1FE6">
      <w:pPr>
        <w:spacing w:line="264" w:lineRule="auto"/>
        <w:rPr>
          <w:rFonts w:ascii="Times New Roman" w:hAnsi="Times New Roman" w:cs="Times New Roman"/>
        </w:rPr>
      </w:pPr>
      <w:r w:rsidRPr="00ED1FE6">
        <w:rPr>
          <w:rFonts w:ascii="Times New Roman" w:hAnsi="Times New Roman" w:cs="Times New Roman"/>
          <w:sz w:val="20"/>
          <w:szCs w:val="20"/>
        </w:rPr>
        <w:t>Supporting data is also shared via Google Drive: riskregister.csv (the qualitative register) and the published Monte Carlo results.</w:t>
      </w:r>
    </w:p>
    <w:p w:rsidR="00C07A71" w:rsidRPr="00ED1FE6" w:rsidRDefault="00C07A71">
      <w:pPr>
        <w:rPr>
          <w:rFonts w:ascii="Times New Roman" w:hAnsi="Times New Roman" w:cs="Times New Roman"/>
        </w:rPr>
      </w:pPr>
    </w:p>
    <w:sectPr w:rsidR="00C07A71" w:rsidRPr="00ED1F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E6"/>
    <w:rsid w:val="00710B35"/>
    <w:rsid w:val="00C07A71"/>
    <w:rsid w:val="00ED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BE1E2"/>
  <w15:chartTrackingRefBased/>
  <w15:docId w15:val="{1B58D368-6024-C545-8A34-1D06CCC8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FE6"/>
    <w:rPr>
      <w:rFonts w:ascii="Arial" w:eastAsia="Arial" w:hAnsi="Arial" w:cs="Arial"/>
      <w:kern w:val="0"/>
      <w:sz w:val="22"/>
      <w:szCs w:val="22"/>
      <w:lang w:val="en-PH"/>
      <w14:ligatures w14:val="none"/>
    </w:rPr>
  </w:style>
  <w:style w:type="paragraph" w:styleId="Heading1">
    <w:name w:val="heading 1"/>
    <w:link w:val="Heading1Char"/>
    <w:uiPriority w:val="9"/>
    <w:qFormat/>
    <w:rsid w:val="00ED1FE6"/>
    <w:pPr>
      <w:outlineLvl w:val="0"/>
    </w:pPr>
    <w:rPr>
      <w:rFonts w:ascii="Arial" w:eastAsia="Arial" w:hAnsi="Arial" w:cs="Arial"/>
      <w:color w:val="2E74B5"/>
      <w:kern w:val="0"/>
      <w:sz w:val="32"/>
      <w:szCs w:val="32"/>
      <w:lang w:val="en-PH"/>
      <w14:ligatures w14:val="none"/>
    </w:rPr>
  </w:style>
  <w:style w:type="paragraph" w:styleId="Heading2">
    <w:name w:val="heading 2"/>
    <w:link w:val="Heading2Char"/>
    <w:uiPriority w:val="9"/>
    <w:unhideWhenUsed/>
    <w:qFormat/>
    <w:rsid w:val="00ED1FE6"/>
    <w:pPr>
      <w:outlineLvl w:val="1"/>
    </w:pPr>
    <w:rPr>
      <w:rFonts w:ascii="Arial" w:eastAsia="Arial" w:hAnsi="Arial" w:cs="Arial"/>
      <w:color w:val="2E74B5"/>
      <w:kern w:val="0"/>
      <w:sz w:val="26"/>
      <w:szCs w:val="26"/>
      <w:lang w:val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E6"/>
    <w:rPr>
      <w:rFonts w:ascii="Arial" w:eastAsia="Arial" w:hAnsi="Arial" w:cs="Arial"/>
      <w:color w:val="2E74B5"/>
      <w:kern w:val="0"/>
      <w:sz w:val="32"/>
      <w:szCs w:val="32"/>
      <w:lang w:val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D1FE6"/>
    <w:rPr>
      <w:rFonts w:ascii="Arial" w:eastAsia="Arial" w:hAnsi="Arial" w:cs="Arial"/>
      <w:color w:val="2E74B5"/>
      <w:kern w:val="0"/>
      <w:sz w:val="26"/>
      <w:szCs w:val="26"/>
      <w:lang w:val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2026-06-17T04:50:00Z</dcterms:created>
  <dcterms:modified xsi:type="dcterms:W3CDTF">2026-06-17T04:56:00Z</dcterms:modified>
</cp:coreProperties>
</file>