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30AF3" w:rsidRPr="00D30AF3" w:rsidRDefault="00D30AF3" w:rsidP="00D30AF3">
      <w:pPr>
        <w:pStyle w:val="Heading1"/>
        <w:rPr>
          <w:rFonts w:ascii="Times New Roman" w:hAnsi="Times New Roman" w:cs="Times New Roman"/>
        </w:rPr>
      </w:pPr>
      <w:r w:rsidRPr="00D30AF3">
        <w:rPr>
          <w:rFonts w:ascii="Times New Roman" w:hAnsi="Times New Roman" w:cs="Times New Roman"/>
        </w:rPr>
        <w:t>Risk Response Strategy</w:t>
      </w:r>
    </w:p>
    <w:p w:rsidR="00D30AF3" w:rsidRPr="00D30AF3" w:rsidRDefault="00D30AF3" w:rsidP="00D30AF3">
      <w:pPr>
        <w:spacing w:after="140" w:line="252" w:lineRule="auto"/>
        <w:jc w:val="both"/>
        <w:rPr>
          <w:rFonts w:ascii="Times New Roman" w:hAnsi="Times New Roman" w:cs="Times New Roman"/>
        </w:rPr>
      </w:pPr>
      <w:r w:rsidRPr="00D30AF3">
        <w:rPr>
          <w:rFonts w:ascii="Times New Roman" w:hAnsi="Times New Roman" w:cs="Times New Roman"/>
        </w:rPr>
        <w:t xml:space="preserve">For each of the register’s highest-priority risks, we chose a response strategy from the four standard ERM categories avoid, mitigate/reduce, transfer, and accept plus exploit/enhance for R-010 as the positive-risk equivalent. No strategy was applied by default. Each choice is grounded in the cost-benefit logic specific to that risk, weighing what Pfizer can actually control internally its balance sheet, </w:t>
      </w:r>
      <w:r w:rsidRPr="00D30AF3">
        <w:rPr>
          <w:rFonts w:ascii="Times New Roman" w:hAnsi="Times New Roman" w:cs="Times New Roman"/>
        </w:rPr>
        <w:t>organizational</w:t>
      </w:r>
      <w:r w:rsidRPr="00D30AF3">
        <w:rPr>
          <w:rFonts w:ascii="Times New Roman" w:hAnsi="Times New Roman" w:cs="Times New Roman"/>
        </w:rPr>
        <w:t xml:space="preserve"> structure, retention </w:t>
      </w:r>
      <w:proofErr w:type="spellStart"/>
      <w:r w:rsidRPr="00D30AF3">
        <w:rPr>
          <w:rFonts w:ascii="Times New Roman" w:hAnsi="Times New Roman" w:cs="Times New Roman"/>
        </w:rPr>
        <w:t>programmes</w:t>
      </w:r>
      <w:proofErr w:type="spellEnd"/>
      <w:r w:rsidRPr="00D30AF3">
        <w:rPr>
          <w:rFonts w:ascii="Times New Roman" w:hAnsi="Times New Roman" w:cs="Times New Roman"/>
        </w:rPr>
        <w:t xml:space="preserve"> already running</w:t>
      </w:r>
      <w:r w:rsidRPr="00D30AF3">
        <w:rPr>
          <w:rFonts w:ascii="Times New Roman" w:hAnsi="Times New Roman" w:cs="Times New Roman"/>
        </w:rPr>
        <w:t xml:space="preserve"> </w:t>
      </w:r>
      <w:r w:rsidRPr="00D30AF3">
        <w:rPr>
          <w:rFonts w:ascii="Times New Roman" w:hAnsi="Times New Roman" w:cs="Times New Roman"/>
        </w:rPr>
        <w:t xml:space="preserve">against what it cannot competitor </w:t>
      </w:r>
      <w:r w:rsidRPr="00D30AF3">
        <w:rPr>
          <w:rFonts w:ascii="Times New Roman" w:hAnsi="Times New Roman" w:cs="Times New Roman"/>
        </w:rPr>
        <w:t>behavior</w:t>
      </w:r>
      <w:r w:rsidRPr="00D30AF3">
        <w:rPr>
          <w:rFonts w:ascii="Times New Roman" w:hAnsi="Times New Roman" w:cs="Times New Roman"/>
        </w:rPr>
        <w:t>, regulatory rulings, and where the market is heading.</w:t>
      </w:r>
    </w:p>
    <w:p w:rsidR="00D30AF3" w:rsidRPr="00D30AF3" w:rsidRDefault="00D30AF3" w:rsidP="00D30AF3">
      <w:pPr>
        <w:pStyle w:val="Heading2"/>
        <w:spacing w:after="100"/>
        <w:rPr>
          <w:rFonts w:ascii="Times New Roman" w:hAnsi="Times New Roman" w:cs="Times New Roman"/>
        </w:rPr>
      </w:pPr>
      <w:r w:rsidRPr="00D30AF3">
        <w:rPr>
          <w:rFonts w:ascii="Times New Roman" w:hAnsi="Times New Roman" w:cs="Times New Roman"/>
        </w:rPr>
        <w:t>R-006: Critical ADC Talent Attrition Mitigate</w:t>
      </w:r>
    </w:p>
    <w:p w:rsidR="00D30AF3" w:rsidRPr="00D30AF3" w:rsidRDefault="00D30AF3" w:rsidP="00D30AF3">
      <w:pPr>
        <w:spacing w:after="140" w:line="252" w:lineRule="auto"/>
        <w:jc w:val="both"/>
        <w:rPr>
          <w:rFonts w:ascii="Times New Roman" w:hAnsi="Times New Roman" w:cs="Times New Roman"/>
        </w:rPr>
      </w:pPr>
      <w:r w:rsidRPr="00D30AF3">
        <w:rPr>
          <w:rFonts w:ascii="Times New Roman" w:hAnsi="Times New Roman" w:cs="Times New Roman"/>
        </w:rPr>
        <w:t>Avoidance is not a real option here</w:t>
      </w:r>
      <w:r w:rsidRPr="00D30AF3">
        <w:rPr>
          <w:rFonts w:ascii="Times New Roman" w:hAnsi="Times New Roman" w:cs="Times New Roman"/>
        </w:rPr>
        <w:t xml:space="preserve"> </w:t>
      </w:r>
      <w:r w:rsidRPr="00D30AF3">
        <w:rPr>
          <w:rFonts w:ascii="Times New Roman" w:hAnsi="Times New Roman" w:cs="Times New Roman"/>
        </w:rPr>
        <w:t xml:space="preserve">Pfizer cannot sidestep the people risk that comes with absorbing a 3,400-person science-led </w:t>
      </w:r>
      <w:proofErr w:type="spellStart"/>
      <w:r w:rsidRPr="00D30AF3">
        <w:rPr>
          <w:rFonts w:ascii="Times New Roman" w:hAnsi="Times New Roman" w:cs="Times New Roman"/>
        </w:rPr>
        <w:t>organisation</w:t>
      </w:r>
      <w:proofErr w:type="spellEnd"/>
      <w:r w:rsidRPr="00D30AF3">
        <w:rPr>
          <w:rFonts w:ascii="Times New Roman" w:hAnsi="Times New Roman" w:cs="Times New Roman"/>
        </w:rPr>
        <w:t xml:space="preserve"> without walking away from the deal entirely, and no insurance product can replace the tacit knowledge those scientists carry about linker-payload chemistry. Acceptance is equally indefensible given the modelled 55% probability, the highest of the three quantified risks. Published M&amp;A research puts that number in sobering context: an EY study found post-merger turnover reaching 47% within the first year and 75% within three years (</w:t>
      </w:r>
      <w:proofErr w:type="spellStart"/>
      <w:r w:rsidRPr="00D30AF3">
        <w:rPr>
          <w:rFonts w:ascii="Times New Roman" w:hAnsi="Times New Roman" w:cs="Times New Roman"/>
        </w:rPr>
        <w:t>Mnacommunity</w:t>
      </w:r>
      <w:proofErr w:type="spellEnd"/>
      <w:r w:rsidRPr="00D30AF3">
        <w:rPr>
          <w:rFonts w:ascii="Times New Roman" w:hAnsi="Times New Roman" w:cs="Times New Roman"/>
        </w:rPr>
        <w:t xml:space="preserve">, 2025), and a separate analysis found voluntary attrition rising more than 30% during M&amp;A transactions specifically (RMI, 2025). Mitigation is the only strategy that holds up, and the plan already in motion 24-month vesting retention equity for a named critical-talent cohort, preservation of </w:t>
      </w:r>
      <w:proofErr w:type="spellStart"/>
      <w:r w:rsidRPr="00D30AF3">
        <w:rPr>
          <w:rFonts w:ascii="Times New Roman" w:hAnsi="Times New Roman" w:cs="Times New Roman"/>
        </w:rPr>
        <w:t>Seagen</w:t>
      </w:r>
      <w:proofErr w:type="spellEnd"/>
      <w:r w:rsidRPr="00D30AF3">
        <w:rPr>
          <w:rFonts w:ascii="Times New Roman" w:hAnsi="Times New Roman" w:cs="Times New Roman"/>
        </w:rPr>
        <w:t xml:space="preserve"> R&amp;D leadership independence at Bothell, executive sponsorship of named critical scientists, and non-solicitation provisions goes directly at the root cause: active recruitment by AbbVie and Merck running alongside cultural friction from integration.</w:t>
      </w:r>
    </w:p>
    <w:p w:rsidR="00D30AF3" w:rsidRPr="00D30AF3" w:rsidRDefault="00D30AF3" w:rsidP="00D30AF3">
      <w:pPr>
        <w:pStyle w:val="Heading2"/>
        <w:spacing w:after="100"/>
        <w:rPr>
          <w:rFonts w:ascii="Times New Roman" w:hAnsi="Times New Roman" w:cs="Times New Roman"/>
        </w:rPr>
      </w:pPr>
      <w:r w:rsidRPr="00D30AF3">
        <w:rPr>
          <w:rFonts w:ascii="Times New Roman" w:hAnsi="Times New Roman" w:cs="Times New Roman"/>
        </w:rPr>
        <w:t>R-MSE: ADC Market-Share Erosion Mitigate, with Bounded Acceptance of Residual Exposure</w:t>
      </w:r>
    </w:p>
    <w:p w:rsidR="00D30AF3" w:rsidRPr="00D30AF3" w:rsidRDefault="00D30AF3" w:rsidP="00D30AF3">
      <w:pPr>
        <w:spacing w:after="140" w:line="252" w:lineRule="auto"/>
        <w:jc w:val="both"/>
        <w:rPr>
          <w:rFonts w:ascii="Times New Roman" w:hAnsi="Times New Roman" w:cs="Times New Roman"/>
        </w:rPr>
      </w:pPr>
      <w:r w:rsidRPr="00D30AF3">
        <w:rPr>
          <w:rFonts w:ascii="Times New Roman" w:hAnsi="Times New Roman" w:cs="Times New Roman"/>
        </w:rPr>
        <w:t>This is the largest quantified exposure in the register (−$2.66 billion expected, $6.67 billion P90), but the driver</w:t>
      </w:r>
      <w:r w:rsidRPr="00D30AF3">
        <w:rPr>
          <w:rFonts w:ascii="Times New Roman" w:hAnsi="Times New Roman" w:cs="Times New Roman"/>
        </w:rPr>
        <w:t xml:space="preserve"> </w:t>
      </w:r>
      <w:r w:rsidRPr="00D30AF3">
        <w:rPr>
          <w:rFonts w:ascii="Times New Roman" w:hAnsi="Times New Roman" w:cs="Times New Roman"/>
        </w:rPr>
        <w:t>intensifying ADC competition is external and cannot be avoided without exiting oncology altogether. There is also no transfer mechanism for lost market share. Pure mitigation cannot bring this to zero either: the ADC market is forecast to grow at 9–14% CAGR through the early 2030s (Grand View Research, 2025; Mordor Intelligence, 2026; Towards Healthcare, 2025), which means Pfizer is competing in an expanding market even as its relative share is being contested. The strategy combines active mitigation accelerating S</w:t>
      </w:r>
      <w:proofErr w:type="spellStart"/>
      <w:r w:rsidRPr="00D30AF3">
        <w:rPr>
          <w:rFonts w:ascii="Times New Roman" w:hAnsi="Times New Roman" w:cs="Times New Roman"/>
        </w:rPr>
        <w:t>eagen’s</w:t>
      </w:r>
      <w:proofErr w:type="spellEnd"/>
      <w:r w:rsidRPr="00D30AF3">
        <w:rPr>
          <w:rFonts w:ascii="Times New Roman" w:hAnsi="Times New Roman" w:cs="Times New Roman"/>
        </w:rPr>
        <w:t xml:space="preserve"> pipeline timelines and building real-world-evidence generation to differentiate its ADCs ahead of IRA price compression</w:t>
      </w:r>
      <w:r w:rsidRPr="00D30AF3">
        <w:rPr>
          <w:rFonts w:ascii="Times New Roman" w:hAnsi="Times New Roman" w:cs="Times New Roman"/>
        </w:rPr>
        <w:t xml:space="preserve"> </w:t>
      </w:r>
      <w:r w:rsidRPr="00D30AF3">
        <w:rPr>
          <w:rFonts w:ascii="Times New Roman" w:hAnsi="Times New Roman" w:cs="Times New Roman"/>
        </w:rPr>
        <w:t>with bounded acceptance of share variation within the I&amp;W amber/red thresholds. Single-digit share movement in a fast-growing market is not a strategy failure; it is noise. The thresholds are designed to distinguish the two.</w:t>
      </w:r>
    </w:p>
    <w:p w:rsidR="00D30AF3" w:rsidRPr="00D30AF3" w:rsidRDefault="00D30AF3" w:rsidP="00D30AF3">
      <w:pPr>
        <w:pStyle w:val="Heading2"/>
        <w:spacing w:after="100"/>
        <w:rPr>
          <w:rFonts w:ascii="Times New Roman" w:hAnsi="Times New Roman" w:cs="Times New Roman"/>
        </w:rPr>
      </w:pPr>
      <w:r w:rsidRPr="00D30AF3">
        <w:rPr>
          <w:rFonts w:ascii="Times New Roman" w:hAnsi="Times New Roman" w:cs="Times New Roman"/>
        </w:rPr>
        <w:t>R-002 / R-001: Revenue Target and Interest Coverage Mitigate</w:t>
      </w:r>
    </w:p>
    <w:p w:rsidR="00D30AF3" w:rsidRPr="00D30AF3" w:rsidRDefault="00D30AF3" w:rsidP="00D30AF3">
      <w:pPr>
        <w:spacing w:after="140" w:line="252" w:lineRule="auto"/>
        <w:jc w:val="both"/>
        <w:rPr>
          <w:rFonts w:ascii="Times New Roman" w:hAnsi="Times New Roman" w:cs="Times New Roman"/>
        </w:rPr>
      </w:pPr>
      <w:r w:rsidRPr="00D30AF3">
        <w:rPr>
          <w:rFonts w:ascii="Times New Roman" w:hAnsi="Times New Roman" w:cs="Times New Roman"/>
        </w:rPr>
        <w:t xml:space="preserve">Both the $10 billion 2030 target (R-002) and the debt-driven interest-coverage risk (R-001) sit downstream of financing and growth decisions that are already locked in. Avoidance would mean unwinding the acquisition, and no third party is going to absorb the consequences of Pfizer missing targets it set itself. Mitigation is the right call because both shortfalls are substantially within Pfizer’s control: the four marketed ADCs generated roughly $3.457 billion in 2025, which is below the run-rate needed to reach $10 billion by 2030, while a severe stress scenario (EBIT −35%, financing costs +15%) pushes interest coverage to about 0.84× below the 1.0× debt-servicing floor, consistent with Moody’s and S&amp;P’s post-close downgrades. The plan accelerates ex-US </w:t>
      </w:r>
      <w:proofErr w:type="spellStart"/>
      <w:r w:rsidRPr="00D30AF3">
        <w:rPr>
          <w:rFonts w:ascii="Times New Roman" w:hAnsi="Times New Roman" w:cs="Times New Roman"/>
        </w:rPr>
        <w:t>commercialisation</w:t>
      </w:r>
      <w:proofErr w:type="spellEnd"/>
      <w:r w:rsidRPr="00D30AF3">
        <w:rPr>
          <w:rFonts w:ascii="Times New Roman" w:hAnsi="Times New Roman" w:cs="Times New Roman"/>
        </w:rPr>
        <w:t>, builds an IRA revenue haircut directly into the base model rather than treating it as a downside scenario, and pre-authorizes a CAPEX-deferral trigger as interest coverage approaches the amber KRI threshold rather than waiting for a covenant breach.</w:t>
      </w:r>
    </w:p>
    <w:p w:rsidR="00D30AF3" w:rsidRPr="00D30AF3" w:rsidRDefault="00D30AF3" w:rsidP="00D30AF3">
      <w:pPr>
        <w:pStyle w:val="Heading2"/>
        <w:spacing w:after="100"/>
        <w:rPr>
          <w:rFonts w:ascii="Times New Roman" w:hAnsi="Times New Roman" w:cs="Times New Roman"/>
        </w:rPr>
      </w:pPr>
      <w:r w:rsidRPr="00D30AF3">
        <w:rPr>
          <w:rFonts w:ascii="Times New Roman" w:hAnsi="Times New Roman" w:cs="Times New Roman"/>
        </w:rPr>
        <w:lastRenderedPageBreak/>
        <w:t>R-003: IRA Medicare Price Negotiation Accept, with Active Management of Timing</w:t>
      </w:r>
    </w:p>
    <w:p w:rsidR="00D30AF3" w:rsidRPr="00D30AF3" w:rsidRDefault="00D30AF3" w:rsidP="00D30AF3">
      <w:pPr>
        <w:spacing w:after="140" w:line="252" w:lineRule="auto"/>
        <w:jc w:val="both"/>
        <w:rPr>
          <w:rFonts w:ascii="Times New Roman" w:hAnsi="Times New Roman" w:cs="Times New Roman"/>
        </w:rPr>
      </w:pPr>
      <w:r w:rsidRPr="00D30AF3">
        <w:rPr>
          <w:rFonts w:ascii="Times New Roman" w:hAnsi="Times New Roman" w:cs="Times New Roman"/>
        </w:rPr>
        <w:t>R-003 is the one risk in the register where acceptance rather than mitigation is the right primary strategy</w:t>
      </w:r>
      <w:r w:rsidRPr="00D30AF3">
        <w:rPr>
          <w:rFonts w:ascii="Times New Roman" w:hAnsi="Times New Roman" w:cs="Times New Roman"/>
        </w:rPr>
        <w:t xml:space="preserve"> </w:t>
      </w:r>
      <w:r w:rsidRPr="00D30AF3">
        <w:rPr>
          <w:rFonts w:ascii="Times New Roman" w:hAnsi="Times New Roman" w:cs="Times New Roman"/>
        </w:rPr>
        <w:t xml:space="preserve">because the alternative paths are genuinely closed. The Third Circuit dismissed AstraZeneca’s constitutional challenge to the IRA negotiation </w:t>
      </w:r>
      <w:proofErr w:type="spellStart"/>
      <w:r w:rsidRPr="00D30AF3">
        <w:rPr>
          <w:rFonts w:ascii="Times New Roman" w:hAnsi="Times New Roman" w:cs="Times New Roman"/>
        </w:rPr>
        <w:t>programme</w:t>
      </w:r>
      <w:proofErr w:type="spellEnd"/>
      <w:r w:rsidRPr="00D30AF3">
        <w:rPr>
          <w:rFonts w:ascii="Times New Roman" w:hAnsi="Times New Roman" w:cs="Times New Roman"/>
        </w:rPr>
        <w:t xml:space="preserve"> in May 2025, which shut the litigation door. The IRA expansion schedule 15 drugs negotiation-eligible in 2027, 20 per year from 2029 is written into statute and sits entirely outside Pfizer’s control. The honest approach is to treat the projected $1–3 billion impact as a planning input rather than a preventable event, while actively managing timing and severity through lifecycle management of ADCETRIS exclusivity where the law allows, and staying engaged through PhRMA on how future selection criteria develop.</w:t>
      </w:r>
    </w:p>
    <w:p w:rsidR="00D30AF3" w:rsidRPr="00D30AF3" w:rsidRDefault="00D30AF3" w:rsidP="00D30AF3">
      <w:pPr>
        <w:pStyle w:val="Heading2"/>
        <w:spacing w:after="100"/>
        <w:rPr>
          <w:rFonts w:ascii="Times New Roman" w:hAnsi="Times New Roman" w:cs="Times New Roman"/>
        </w:rPr>
      </w:pPr>
      <w:r w:rsidRPr="00D30AF3">
        <w:rPr>
          <w:rFonts w:ascii="Times New Roman" w:hAnsi="Times New Roman" w:cs="Times New Roman"/>
        </w:rPr>
        <w:t>R-010: ADC Combination Therapy Opportunity Exploit / Enhance</w:t>
      </w:r>
    </w:p>
    <w:p w:rsidR="00D30AF3" w:rsidRPr="00D30AF3" w:rsidRDefault="00D30AF3" w:rsidP="00D30AF3">
      <w:pPr>
        <w:spacing w:after="140" w:line="252" w:lineRule="auto"/>
        <w:jc w:val="both"/>
        <w:rPr>
          <w:rFonts w:ascii="Times New Roman" w:hAnsi="Times New Roman" w:cs="Times New Roman"/>
        </w:rPr>
      </w:pPr>
      <w:r w:rsidRPr="00D30AF3">
        <w:rPr>
          <w:rFonts w:ascii="Times New Roman" w:hAnsi="Times New Roman" w:cs="Times New Roman"/>
        </w:rPr>
        <w:t xml:space="preserve">R-010 is a positive risk, which means the goal is active exploitation rather than sitting back and hoping the upside </w:t>
      </w:r>
      <w:proofErr w:type="spellStart"/>
      <w:r w:rsidRPr="00D30AF3">
        <w:rPr>
          <w:rFonts w:ascii="Times New Roman" w:hAnsi="Times New Roman" w:cs="Times New Roman"/>
        </w:rPr>
        <w:t>materialises</w:t>
      </w:r>
      <w:proofErr w:type="spellEnd"/>
      <w:r w:rsidRPr="00D30AF3">
        <w:rPr>
          <w:rFonts w:ascii="Times New Roman" w:hAnsi="Times New Roman" w:cs="Times New Roman"/>
        </w:rPr>
        <w:t xml:space="preserve">. The model puts it at 50% probability, +$0.83 billion expected value, and $1.95 billion at P90 and right now, no single competitor holds both </w:t>
      </w:r>
      <w:proofErr w:type="spellStart"/>
      <w:r w:rsidRPr="00D30AF3">
        <w:rPr>
          <w:rFonts w:ascii="Times New Roman" w:hAnsi="Times New Roman" w:cs="Times New Roman"/>
        </w:rPr>
        <w:t>Seagen’s</w:t>
      </w:r>
      <w:proofErr w:type="spellEnd"/>
      <w:r w:rsidRPr="00D30AF3">
        <w:rPr>
          <w:rFonts w:ascii="Times New Roman" w:hAnsi="Times New Roman" w:cs="Times New Roman"/>
        </w:rPr>
        <w:t xml:space="preserve"> linker-payload platform and Pfizer’s antibody library at once. That is a genuine structural advantage, but it is time-limited. The first-mover window is 24–36 months, which means the strategy has to push hard toward the I&amp;W capture trigger of four or more new combination </w:t>
      </w:r>
      <w:proofErr w:type="spellStart"/>
      <w:r w:rsidRPr="00D30AF3">
        <w:rPr>
          <w:rFonts w:ascii="Times New Roman" w:hAnsi="Times New Roman" w:cs="Times New Roman"/>
        </w:rPr>
        <w:t>programmes</w:t>
      </w:r>
      <w:proofErr w:type="spellEnd"/>
      <w:r w:rsidRPr="00D30AF3">
        <w:rPr>
          <w:rFonts w:ascii="Times New Roman" w:hAnsi="Times New Roman" w:cs="Times New Roman"/>
        </w:rPr>
        <w:t xml:space="preserve"> per quarter, and lock in partnerships with leading academic cancer </w:t>
      </w:r>
      <w:proofErr w:type="spellStart"/>
      <w:r w:rsidRPr="00D30AF3">
        <w:rPr>
          <w:rFonts w:ascii="Times New Roman" w:hAnsi="Times New Roman" w:cs="Times New Roman"/>
        </w:rPr>
        <w:t>centres</w:t>
      </w:r>
      <w:proofErr w:type="spellEnd"/>
      <w:r w:rsidRPr="00D30AF3">
        <w:rPr>
          <w:rFonts w:ascii="Times New Roman" w:hAnsi="Times New Roman" w:cs="Times New Roman"/>
        </w:rPr>
        <w:t xml:space="preserve"> MD Anderson, Memorial Sloan Kettering, Dana-Farber before rivals find their own paths to close the gap.</w:t>
      </w:r>
    </w:p>
    <w:p w:rsidR="00D30AF3" w:rsidRPr="00D30AF3" w:rsidRDefault="00D30AF3" w:rsidP="00D30AF3">
      <w:pPr>
        <w:pStyle w:val="Heading2"/>
        <w:spacing w:after="100"/>
        <w:rPr>
          <w:rFonts w:ascii="Times New Roman" w:hAnsi="Times New Roman" w:cs="Times New Roman"/>
        </w:rPr>
      </w:pPr>
      <w:r w:rsidRPr="00D30AF3">
        <w:rPr>
          <w:rFonts w:ascii="Times New Roman" w:hAnsi="Times New Roman" w:cs="Times New Roman"/>
        </w:rPr>
        <w:t>R-017: Cybersecurity Exposure During Integration Mitigate</w:t>
      </w:r>
    </w:p>
    <w:p w:rsidR="00D30AF3" w:rsidRPr="00D30AF3" w:rsidRDefault="00D30AF3" w:rsidP="00D30AF3">
      <w:pPr>
        <w:spacing w:after="140" w:line="252" w:lineRule="auto"/>
        <w:jc w:val="both"/>
        <w:rPr>
          <w:rFonts w:ascii="Times New Roman" w:hAnsi="Times New Roman" w:cs="Times New Roman"/>
        </w:rPr>
      </w:pPr>
      <w:r w:rsidRPr="00D30AF3">
        <w:rPr>
          <w:rFonts w:ascii="Times New Roman" w:hAnsi="Times New Roman" w:cs="Times New Roman"/>
        </w:rPr>
        <w:t xml:space="preserve">You cannot avoid cybersecurity risk during M&amp;A integration without avoiding system consolidation entirely and that is not an option. Cyber insurance helps, but it only covers part of the financial exposure; it does nothing for the regulatory and reputational damage that follows a breach. Mitigation is the strategy, and the plan is specific: zero-trust segmentation between legacy Pfizer and </w:t>
      </w:r>
      <w:proofErr w:type="spellStart"/>
      <w:r w:rsidRPr="00D30AF3">
        <w:rPr>
          <w:rFonts w:ascii="Times New Roman" w:hAnsi="Times New Roman" w:cs="Times New Roman"/>
        </w:rPr>
        <w:t>Seagen</w:t>
      </w:r>
      <w:proofErr w:type="spellEnd"/>
      <w:r w:rsidRPr="00D30AF3">
        <w:rPr>
          <w:rFonts w:ascii="Times New Roman" w:hAnsi="Times New Roman" w:cs="Times New Roman"/>
        </w:rPr>
        <w:t xml:space="preserve"> environments until every connection has been validated, same-day ingestion of </w:t>
      </w:r>
      <w:proofErr w:type="spellStart"/>
      <w:r w:rsidRPr="00D30AF3">
        <w:rPr>
          <w:rFonts w:ascii="Times New Roman" w:hAnsi="Times New Roman" w:cs="Times New Roman"/>
        </w:rPr>
        <w:t>Seagen’s</w:t>
      </w:r>
      <w:proofErr w:type="spellEnd"/>
      <w:r w:rsidRPr="00D30AF3">
        <w:rPr>
          <w:rFonts w:ascii="Times New Roman" w:hAnsi="Times New Roman" w:cs="Times New Roman"/>
        </w:rPr>
        <w:t xml:space="preserve"> security logs into Pfizer’s SOC, mandatory multi-factor authentication during identity consolidation, a dedicated vendor due-diligence cycle for the third parties Pfizer inherited from </w:t>
      </w:r>
      <w:proofErr w:type="spellStart"/>
      <w:r w:rsidRPr="00D30AF3">
        <w:rPr>
          <w:rFonts w:ascii="Times New Roman" w:hAnsi="Times New Roman" w:cs="Times New Roman"/>
        </w:rPr>
        <w:t>Seagen</w:t>
      </w:r>
      <w:proofErr w:type="spellEnd"/>
      <w:r w:rsidRPr="00D30AF3">
        <w:rPr>
          <w:rFonts w:ascii="Times New Roman" w:hAnsi="Times New Roman" w:cs="Times New Roman"/>
        </w:rPr>
        <w:t>, and tabletop exercises designed specifically around a breach-during-acquisition scenario</w:t>
      </w:r>
      <w:r w:rsidRPr="00D30AF3">
        <w:rPr>
          <w:rFonts w:ascii="Times New Roman" w:hAnsi="Times New Roman" w:cs="Times New Roman"/>
        </w:rPr>
        <w:t xml:space="preserve"> </w:t>
      </w:r>
      <w:r w:rsidRPr="00D30AF3">
        <w:rPr>
          <w:rFonts w:ascii="Times New Roman" w:hAnsi="Times New Roman" w:cs="Times New Roman"/>
        </w:rPr>
        <w:t>not generic ransomware drills. The likelihood is moderate but the impact, given the proprietary ADC science sitting in those systems, is severe enough to demand exactly this level of specificity.</w:t>
      </w:r>
    </w:p>
    <w:p w:rsidR="00D30AF3" w:rsidRPr="00D30AF3" w:rsidRDefault="00D30AF3" w:rsidP="00D30AF3">
      <w:pPr>
        <w:pStyle w:val="Heading1"/>
        <w:rPr>
          <w:rFonts w:ascii="Times New Roman" w:hAnsi="Times New Roman" w:cs="Times New Roman"/>
        </w:rPr>
      </w:pPr>
      <w:r w:rsidRPr="00D30AF3">
        <w:rPr>
          <w:rFonts w:ascii="Times New Roman" w:hAnsi="Times New Roman" w:cs="Times New Roman"/>
        </w:rPr>
        <w:t>Key Risk Indicators (KRIs) and Their Trigger Points for Action</w:t>
      </w:r>
    </w:p>
    <w:p w:rsidR="00D30AF3" w:rsidRPr="00D30AF3" w:rsidRDefault="00D30AF3" w:rsidP="00D30AF3">
      <w:pPr>
        <w:spacing w:after="140" w:line="252" w:lineRule="auto"/>
        <w:jc w:val="both"/>
        <w:rPr>
          <w:rFonts w:ascii="Times New Roman" w:hAnsi="Times New Roman" w:cs="Times New Roman"/>
        </w:rPr>
      </w:pPr>
      <w:r w:rsidRPr="00D30AF3">
        <w:rPr>
          <w:rFonts w:ascii="Times New Roman" w:hAnsi="Times New Roman" w:cs="Times New Roman"/>
        </w:rPr>
        <w:t>Every KRI below has been re-grounded in published empirical or theoretical benchmarks directly addressing instructor feedback that the team’s original thresholds, while pointing in the right direction, were not tied to external evidence. The development of each KRI followed the CRISP-DM phases used elsewhere in the course: business understanding (what risk the indicator is actually watching and why it matters), data understanding (what leading and lagging data sources are available), data preparation (the specific metric and measurement window), modelling (the threshold bands), and evaluation (the escalation action and who owns it) with monitoring and deployment continuing at the cadence specified for each indicator. These indicators also serve as the features driving the machine-learning predictor in the Quantitative Risk Assessment, so the monitoring framework and the predictive model are working from exactly the same definition of risk.</w:t>
      </w:r>
    </w:p>
    <w:tbl>
      <w:tblPr>
        <w:tblW w:w="936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CellMar>
          <w:left w:w="10" w:type="dxa"/>
          <w:right w:w="10" w:type="dxa"/>
        </w:tblCellMar>
        <w:tblLook w:val="04A0" w:firstRow="1" w:lastRow="0" w:firstColumn="1" w:lastColumn="0" w:noHBand="0" w:noVBand="1"/>
      </w:tblPr>
      <w:tblGrid>
        <w:gridCol w:w="820"/>
        <w:gridCol w:w="3640"/>
        <w:gridCol w:w="1500"/>
        <w:gridCol w:w="1500"/>
        <w:gridCol w:w="1900"/>
      </w:tblGrid>
      <w:tr w:rsidR="00D30AF3" w:rsidRPr="00D30AF3" w:rsidTr="00652173">
        <w:trPr>
          <w:tblHeader/>
        </w:trPr>
        <w:tc>
          <w:tcPr>
            <w:tcW w:w="820" w:type="dxa"/>
            <w:shd w:val="clear" w:color="auto" w:fill="2E5A88"/>
            <w:tcMar>
              <w:top w:w="60" w:type="dxa"/>
              <w:left w:w="90" w:type="dxa"/>
              <w:bottom w:w="60" w:type="dxa"/>
              <w:right w:w="90" w:type="dxa"/>
            </w:tcMar>
            <w:vAlign w:val="center"/>
          </w:tcPr>
          <w:p w:rsidR="00D30AF3" w:rsidRPr="00D30AF3" w:rsidRDefault="00D30AF3" w:rsidP="00652173">
            <w:pPr>
              <w:rPr>
                <w:rFonts w:ascii="Times New Roman" w:hAnsi="Times New Roman" w:cs="Times New Roman"/>
              </w:rPr>
            </w:pPr>
            <w:r w:rsidRPr="00D30AF3">
              <w:rPr>
                <w:rFonts w:ascii="Times New Roman" w:hAnsi="Times New Roman" w:cs="Times New Roman"/>
                <w:b/>
                <w:bCs/>
                <w:color w:val="FFFFFF"/>
                <w:sz w:val="17"/>
                <w:szCs w:val="17"/>
              </w:rPr>
              <w:t>Risk</w:t>
            </w:r>
          </w:p>
        </w:tc>
        <w:tc>
          <w:tcPr>
            <w:tcW w:w="3640" w:type="dxa"/>
            <w:shd w:val="clear" w:color="auto" w:fill="2E5A88"/>
            <w:tcMar>
              <w:top w:w="60" w:type="dxa"/>
              <w:left w:w="90" w:type="dxa"/>
              <w:bottom w:w="60" w:type="dxa"/>
              <w:right w:w="90" w:type="dxa"/>
            </w:tcMar>
            <w:vAlign w:val="center"/>
          </w:tcPr>
          <w:p w:rsidR="00D30AF3" w:rsidRPr="00D30AF3" w:rsidRDefault="00D30AF3" w:rsidP="00652173">
            <w:pPr>
              <w:rPr>
                <w:rFonts w:ascii="Times New Roman" w:hAnsi="Times New Roman" w:cs="Times New Roman"/>
              </w:rPr>
            </w:pPr>
            <w:r w:rsidRPr="00D30AF3">
              <w:rPr>
                <w:rFonts w:ascii="Times New Roman" w:hAnsi="Times New Roman" w:cs="Times New Roman"/>
                <w:b/>
                <w:bCs/>
                <w:color w:val="FFFFFF"/>
                <w:sz w:val="17"/>
                <w:szCs w:val="17"/>
              </w:rPr>
              <w:t>KRI and empirical grounding</w:t>
            </w:r>
          </w:p>
        </w:tc>
        <w:tc>
          <w:tcPr>
            <w:tcW w:w="1500" w:type="dxa"/>
            <w:shd w:val="clear" w:color="auto" w:fill="2E5A88"/>
            <w:tcMar>
              <w:top w:w="60" w:type="dxa"/>
              <w:left w:w="90" w:type="dxa"/>
              <w:bottom w:w="60" w:type="dxa"/>
              <w:right w:w="90" w:type="dxa"/>
            </w:tcMar>
            <w:vAlign w:val="center"/>
          </w:tcPr>
          <w:p w:rsidR="00D30AF3" w:rsidRPr="00D30AF3" w:rsidRDefault="00D30AF3" w:rsidP="00652173">
            <w:pPr>
              <w:rPr>
                <w:rFonts w:ascii="Times New Roman" w:hAnsi="Times New Roman" w:cs="Times New Roman"/>
              </w:rPr>
            </w:pPr>
            <w:r w:rsidRPr="00D30AF3">
              <w:rPr>
                <w:rFonts w:ascii="Times New Roman" w:hAnsi="Times New Roman" w:cs="Times New Roman"/>
                <w:b/>
                <w:bCs/>
                <w:color w:val="FFFFFF"/>
                <w:sz w:val="17"/>
                <w:szCs w:val="17"/>
              </w:rPr>
              <w:t>Green</w:t>
            </w:r>
          </w:p>
        </w:tc>
        <w:tc>
          <w:tcPr>
            <w:tcW w:w="1500" w:type="dxa"/>
            <w:shd w:val="clear" w:color="auto" w:fill="2E5A88"/>
            <w:tcMar>
              <w:top w:w="60" w:type="dxa"/>
              <w:left w:w="90" w:type="dxa"/>
              <w:bottom w:w="60" w:type="dxa"/>
              <w:right w:w="90" w:type="dxa"/>
            </w:tcMar>
            <w:vAlign w:val="center"/>
          </w:tcPr>
          <w:p w:rsidR="00D30AF3" w:rsidRPr="00D30AF3" w:rsidRDefault="00D30AF3" w:rsidP="00652173">
            <w:pPr>
              <w:rPr>
                <w:rFonts w:ascii="Times New Roman" w:hAnsi="Times New Roman" w:cs="Times New Roman"/>
              </w:rPr>
            </w:pPr>
            <w:r w:rsidRPr="00D30AF3">
              <w:rPr>
                <w:rFonts w:ascii="Times New Roman" w:hAnsi="Times New Roman" w:cs="Times New Roman"/>
                <w:b/>
                <w:bCs/>
                <w:color w:val="FFFFFF"/>
                <w:sz w:val="17"/>
                <w:szCs w:val="17"/>
              </w:rPr>
              <w:t>Amber</w:t>
            </w:r>
          </w:p>
        </w:tc>
        <w:tc>
          <w:tcPr>
            <w:tcW w:w="1900" w:type="dxa"/>
            <w:shd w:val="clear" w:color="auto" w:fill="2E5A88"/>
            <w:tcMar>
              <w:top w:w="60" w:type="dxa"/>
              <w:left w:w="90" w:type="dxa"/>
              <w:bottom w:w="60" w:type="dxa"/>
              <w:right w:w="90" w:type="dxa"/>
            </w:tcMar>
            <w:vAlign w:val="center"/>
          </w:tcPr>
          <w:p w:rsidR="00D30AF3" w:rsidRPr="00D30AF3" w:rsidRDefault="00D30AF3" w:rsidP="00652173">
            <w:pPr>
              <w:rPr>
                <w:rFonts w:ascii="Times New Roman" w:hAnsi="Times New Roman" w:cs="Times New Roman"/>
              </w:rPr>
            </w:pPr>
            <w:r w:rsidRPr="00D30AF3">
              <w:rPr>
                <w:rFonts w:ascii="Times New Roman" w:hAnsi="Times New Roman" w:cs="Times New Roman"/>
                <w:b/>
                <w:bCs/>
                <w:color w:val="FFFFFF"/>
                <w:sz w:val="17"/>
                <w:szCs w:val="17"/>
              </w:rPr>
              <w:t>Red — escalation</w:t>
            </w:r>
          </w:p>
        </w:tc>
      </w:tr>
      <w:tr w:rsidR="00D30AF3" w:rsidRPr="00D30AF3" w:rsidTr="00652173">
        <w:tc>
          <w:tcPr>
            <w:tcW w:w="820" w:type="dxa"/>
            <w:tcMar>
              <w:top w:w="50" w:type="dxa"/>
              <w:left w:w="90" w:type="dxa"/>
              <w:bottom w:w="50" w:type="dxa"/>
              <w:right w:w="90" w:type="dxa"/>
            </w:tcMar>
            <w:vAlign w:val="center"/>
          </w:tcPr>
          <w:p w:rsidR="00D30AF3" w:rsidRPr="00D30AF3" w:rsidRDefault="00D30AF3" w:rsidP="00652173">
            <w:pPr>
              <w:rPr>
                <w:rFonts w:ascii="Times New Roman" w:hAnsi="Times New Roman" w:cs="Times New Roman"/>
              </w:rPr>
            </w:pPr>
            <w:r w:rsidRPr="00D30AF3">
              <w:rPr>
                <w:rFonts w:ascii="Times New Roman" w:hAnsi="Times New Roman" w:cs="Times New Roman"/>
                <w:b/>
                <w:bCs/>
                <w:sz w:val="17"/>
                <w:szCs w:val="17"/>
              </w:rPr>
              <w:t>R-006</w:t>
            </w:r>
          </w:p>
        </w:tc>
        <w:tc>
          <w:tcPr>
            <w:tcW w:w="3640" w:type="dxa"/>
            <w:tcMar>
              <w:top w:w="50" w:type="dxa"/>
              <w:left w:w="90" w:type="dxa"/>
              <w:bottom w:w="50" w:type="dxa"/>
              <w:right w:w="90" w:type="dxa"/>
            </w:tcMar>
            <w:vAlign w:val="center"/>
          </w:tcPr>
          <w:p w:rsidR="00D30AF3" w:rsidRPr="00D30AF3" w:rsidRDefault="00D30AF3" w:rsidP="00652173">
            <w:pPr>
              <w:rPr>
                <w:rFonts w:ascii="Times New Roman" w:hAnsi="Times New Roman" w:cs="Times New Roman"/>
              </w:rPr>
            </w:pPr>
            <w:r w:rsidRPr="00D30AF3">
              <w:rPr>
                <w:rFonts w:ascii="Times New Roman" w:hAnsi="Times New Roman" w:cs="Times New Roman"/>
                <w:sz w:val="17"/>
                <w:szCs w:val="17"/>
              </w:rPr>
              <w:t xml:space="preserve">Monthly voluntary departure rate among critical </w:t>
            </w:r>
            <w:proofErr w:type="spellStart"/>
            <w:r w:rsidRPr="00D30AF3">
              <w:rPr>
                <w:rFonts w:ascii="Times New Roman" w:hAnsi="Times New Roman" w:cs="Times New Roman"/>
                <w:sz w:val="17"/>
                <w:szCs w:val="17"/>
              </w:rPr>
              <w:t>Seagen</w:t>
            </w:r>
            <w:proofErr w:type="spellEnd"/>
            <w:r w:rsidRPr="00D30AF3">
              <w:rPr>
                <w:rFonts w:ascii="Times New Roman" w:hAnsi="Times New Roman" w:cs="Times New Roman"/>
                <w:sz w:val="17"/>
                <w:szCs w:val="17"/>
              </w:rPr>
              <w:t xml:space="preserve"> ADC personnel. Grounded in EY’s finding that post-merger turnover reaches 47% in </w:t>
            </w:r>
            <w:r w:rsidRPr="00D30AF3">
              <w:rPr>
                <w:rFonts w:ascii="Times New Roman" w:hAnsi="Times New Roman" w:cs="Times New Roman"/>
                <w:sz w:val="17"/>
                <w:szCs w:val="17"/>
              </w:rPr>
              <w:lastRenderedPageBreak/>
              <w:t>year one industry-wide (</w:t>
            </w:r>
            <w:proofErr w:type="spellStart"/>
            <w:r w:rsidRPr="00D30AF3">
              <w:rPr>
                <w:rFonts w:ascii="Times New Roman" w:hAnsi="Times New Roman" w:cs="Times New Roman"/>
                <w:sz w:val="17"/>
                <w:szCs w:val="17"/>
              </w:rPr>
              <w:t>Mnacommunity</w:t>
            </w:r>
            <w:proofErr w:type="spellEnd"/>
            <w:r w:rsidRPr="00D30AF3">
              <w:rPr>
                <w:rFonts w:ascii="Times New Roman" w:hAnsi="Times New Roman" w:cs="Times New Roman"/>
                <w:sz w:val="17"/>
                <w:szCs w:val="17"/>
              </w:rPr>
              <w:t>, 2025) and a biotech baseline of ~12% in non-M&amp;A conditions (</w:t>
            </w:r>
            <w:proofErr w:type="spellStart"/>
            <w:r w:rsidRPr="00D30AF3">
              <w:rPr>
                <w:rFonts w:ascii="Times New Roman" w:hAnsi="Times New Roman" w:cs="Times New Roman"/>
                <w:sz w:val="17"/>
                <w:szCs w:val="17"/>
              </w:rPr>
              <w:t>Retensa</w:t>
            </w:r>
            <w:proofErr w:type="spellEnd"/>
            <w:r w:rsidRPr="00D30AF3">
              <w:rPr>
                <w:rFonts w:ascii="Times New Roman" w:hAnsi="Times New Roman" w:cs="Times New Roman"/>
                <w:sz w:val="17"/>
                <w:szCs w:val="17"/>
              </w:rPr>
              <w:t>, 2025); bands are set well under the M&amp;A average because retention equity and R&amp;D-independence controls are already in force.</w:t>
            </w:r>
          </w:p>
        </w:tc>
        <w:tc>
          <w:tcPr>
            <w:tcW w:w="1500" w:type="dxa"/>
            <w:tcMar>
              <w:top w:w="50" w:type="dxa"/>
              <w:left w:w="90" w:type="dxa"/>
              <w:bottom w:w="50" w:type="dxa"/>
              <w:right w:w="90" w:type="dxa"/>
            </w:tcMar>
            <w:vAlign w:val="center"/>
          </w:tcPr>
          <w:p w:rsidR="00D30AF3" w:rsidRPr="00D30AF3" w:rsidRDefault="00D30AF3" w:rsidP="00652173">
            <w:pPr>
              <w:rPr>
                <w:rFonts w:ascii="Times New Roman" w:hAnsi="Times New Roman" w:cs="Times New Roman"/>
              </w:rPr>
            </w:pPr>
            <w:r w:rsidRPr="00D30AF3">
              <w:rPr>
                <w:rFonts w:ascii="Times New Roman" w:hAnsi="Times New Roman" w:cs="Times New Roman"/>
                <w:sz w:val="17"/>
                <w:szCs w:val="17"/>
              </w:rPr>
              <w:lastRenderedPageBreak/>
              <w:t>Annualized attrition &lt; 5%</w:t>
            </w:r>
          </w:p>
        </w:tc>
        <w:tc>
          <w:tcPr>
            <w:tcW w:w="1500" w:type="dxa"/>
            <w:tcMar>
              <w:top w:w="50" w:type="dxa"/>
              <w:left w:w="90" w:type="dxa"/>
              <w:bottom w:w="50" w:type="dxa"/>
              <w:right w:w="90" w:type="dxa"/>
            </w:tcMar>
            <w:vAlign w:val="center"/>
          </w:tcPr>
          <w:p w:rsidR="00D30AF3" w:rsidRPr="00D30AF3" w:rsidRDefault="00D30AF3" w:rsidP="00652173">
            <w:pPr>
              <w:rPr>
                <w:rFonts w:ascii="Times New Roman" w:hAnsi="Times New Roman" w:cs="Times New Roman"/>
              </w:rPr>
            </w:pPr>
            <w:r w:rsidRPr="00D30AF3">
              <w:rPr>
                <w:rFonts w:ascii="Times New Roman" w:hAnsi="Times New Roman" w:cs="Times New Roman"/>
                <w:sz w:val="17"/>
                <w:szCs w:val="17"/>
              </w:rPr>
              <w:t>5–8%  targeted retention conversations</w:t>
            </w:r>
          </w:p>
        </w:tc>
        <w:tc>
          <w:tcPr>
            <w:tcW w:w="1900" w:type="dxa"/>
            <w:tcMar>
              <w:top w:w="50" w:type="dxa"/>
              <w:left w:w="90" w:type="dxa"/>
              <w:bottom w:w="50" w:type="dxa"/>
              <w:right w:w="90" w:type="dxa"/>
            </w:tcMar>
            <w:vAlign w:val="center"/>
          </w:tcPr>
          <w:p w:rsidR="00D30AF3" w:rsidRPr="00D30AF3" w:rsidRDefault="00D30AF3" w:rsidP="00652173">
            <w:pPr>
              <w:rPr>
                <w:rFonts w:ascii="Times New Roman" w:hAnsi="Times New Roman" w:cs="Times New Roman"/>
              </w:rPr>
            </w:pPr>
            <w:r w:rsidRPr="00D30AF3">
              <w:rPr>
                <w:rFonts w:ascii="Times New Roman" w:hAnsi="Times New Roman" w:cs="Times New Roman"/>
                <w:sz w:val="17"/>
                <w:szCs w:val="17"/>
              </w:rPr>
              <w:t xml:space="preserve">&gt; 8%, or any departure from the named critical-scientist list escalate to </w:t>
            </w:r>
            <w:r w:rsidRPr="00D30AF3">
              <w:rPr>
                <w:rFonts w:ascii="Times New Roman" w:hAnsi="Times New Roman" w:cs="Times New Roman"/>
                <w:sz w:val="17"/>
                <w:szCs w:val="17"/>
              </w:rPr>
              <w:lastRenderedPageBreak/>
              <w:t>CHRO and CEO; emergency retention packages</w:t>
            </w:r>
          </w:p>
        </w:tc>
      </w:tr>
      <w:tr w:rsidR="00D30AF3" w:rsidRPr="00D30AF3" w:rsidTr="00652173">
        <w:tc>
          <w:tcPr>
            <w:tcW w:w="820" w:type="dxa"/>
            <w:tcMar>
              <w:top w:w="50" w:type="dxa"/>
              <w:left w:w="90" w:type="dxa"/>
              <w:bottom w:w="50" w:type="dxa"/>
              <w:right w:w="90" w:type="dxa"/>
            </w:tcMar>
            <w:vAlign w:val="center"/>
          </w:tcPr>
          <w:p w:rsidR="00D30AF3" w:rsidRPr="00D30AF3" w:rsidRDefault="00D30AF3" w:rsidP="00652173">
            <w:pPr>
              <w:rPr>
                <w:rFonts w:ascii="Times New Roman" w:hAnsi="Times New Roman" w:cs="Times New Roman"/>
              </w:rPr>
            </w:pPr>
            <w:r w:rsidRPr="00D30AF3">
              <w:rPr>
                <w:rFonts w:ascii="Times New Roman" w:hAnsi="Times New Roman" w:cs="Times New Roman"/>
                <w:b/>
                <w:bCs/>
                <w:sz w:val="17"/>
                <w:szCs w:val="17"/>
              </w:rPr>
              <w:lastRenderedPageBreak/>
              <w:t>R-MSE</w:t>
            </w:r>
          </w:p>
        </w:tc>
        <w:tc>
          <w:tcPr>
            <w:tcW w:w="3640" w:type="dxa"/>
            <w:tcMar>
              <w:top w:w="50" w:type="dxa"/>
              <w:left w:w="90" w:type="dxa"/>
              <w:bottom w:w="50" w:type="dxa"/>
              <w:right w:w="90" w:type="dxa"/>
            </w:tcMar>
            <w:vAlign w:val="center"/>
          </w:tcPr>
          <w:p w:rsidR="00D30AF3" w:rsidRPr="00D30AF3" w:rsidRDefault="00D30AF3" w:rsidP="00652173">
            <w:pPr>
              <w:rPr>
                <w:rFonts w:ascii="Times New Roman" w:hAnsi="Times New Roman" w:cs="Times New Roman"/>
              </w:rPr>
            </w:pPr>
            <w:proofErr w:type="spellStart"/>
            <w:r w:rsidRPr="00D30AF3">
              <w:rPr>
                <w:rFonts w:ascii="Times New Roman" w:hAnsi="Times New Roman" w:cs="Times New Roman"/>
                <w:sz w:val="17"/>
                <w:szCs w:val="17"/>
              </w:rPr>
              <w:t>Seagen</w:t>
            </w:r>
            <w:proofErr w:type="spellEnd"/>
            <w:r w:rsidRPr="00D30AF3">
              <w:rPr>
                <w:rFonts w:ascii="Times New Roman" w:hAnsi="Times New Roman" w:cs="Times New Roman"/>
                <w:sz w:val="17"/>
                <w:szCs w:val="17"/>
              </w:rPr>
              <w:t xml:space="preserve"> ADC share among top oncology ADC competitors (IQVIA data) and competitor ADC approvals / Phase III starts per year. Thresholds reflect a 9–14% market CAGR (Grand View Research, 2025; Mordor Intelligence, 2026), so share loss is judged against an expanding market.</w:t>
            </w:r>
          </w:p>
        </w:tc>
        <w:tc>
          <w:tcPr>
            <w:tcW w:w="1500" w:type="dxa"/>
            <w:tcMar>
              <w:top w:w="50" w:type="dxa"/>
              <w:left w:w="90" w:type="dxa"/>
              <w:bottom w:w="50" w:type="dxa"/>
              <w:right w:w="90" w:type="dxa"/>
            </w:tcMar>
            <w:vAlign w:val="center"/>
          </w:tcPr>
          <w:p w:rsidR="00D30AF3" w:rsidRPr="00D30AF3" w:rsidRDefault="00D30AF3" w:rsidP="00652173">
            <w:pPr>
              <w:rPr>
                <w:rFonts w:ascii="Times New Roman" w:hAnsi="Times New Roman" w:cs="Times New Roman"/>
              </w:rPr>
            </w:pPr>
            <w:r w:rsidRPr="00D30AF3">
              <w:rPr>
                <w:rFonts w:ascii="Times New Roman" w:hAnsi="Times New Roman" w:cs="Times New Roman"/>
                <w:sz w:val="17"/>
                <w:szCs w:val="17"/>
              </w:rPr>
              <w:t>Share ≥ 22% and &lt; 2 competitor Phase III entrants/</w:t>
            </w:r>
            <w:proofErr w:type="spellStart"/>
            <w:r w:rsidRPr="00D30AF3">
              <w:rPr>
                <w:rFonts w:ascii="Times New Roman" w:hAnsi="Times New Roman" w:cs="Times New Roman"/>
                <w:sz w:val="17"/>
                <w:szCs w:val="17"/>
              </w:rPr>
              <w:t>qtr</w:t>
            </w:r>
            <w:proofErr w:type="spellEnd"/>
          </w:p>
        </w:tc>
        <w:tc>
          <w:tcPr>
            <w:tcW w:w="1500" w:type="dxa"/>
            <w:tcMar>
              <w:top w:w="50" w:type="dxa"/>
              <w:left w:w="90" w:type="dxa"/>
              <w:bottom w:w="50" w:type="dxa"/>
              <w:right w:w="90" w:type="dxa"/>
            </w:tcMar>
            <w:vAlign w:val="center"/>
          </w:tcPr>
          <w:p w:rsidR="00D30AF3" w:rsidRPr="00D30AF3" w:rsidRDefault="00D30AF3" w:rsidP="00652173">
            <w:pPr>
              <w:rPr>
                <w:rFonts w:ascii="Times New Roman" w:hAnsi="Times New Roman" w:cs="Times New Roman"/>
              </w:rPr>
            </w:pPr>
            <w:r w:rsidRPr="00D30AF3">
              <w:rPr>
                <w:rFonts w:ascii="Times New Roman" w:hAnsi="Times New Roman" w:cs="Times New Roman"/>
                <w:sz w:val="17"/>
                <w:szCs w:val="17"/>
              </w:rPr>
              <w:t>Share 18–21%, or 2–3 entrants/</w:t>
            </w:r>
            <w:proofErr w:type="spellStart"/>
            <w:r w:rsidRPr="00D30AF3">
              <w:rPr>
                <w:rFonts w:ascii="Times New Roman" w:hAnsi="Times New Roman" w:cs="Times New Roman"/>
                <w:sz w:val="17"/>
                <w:szCs w:val="17"/>
              </w:rPr>
              <w:t>qtr</w:t>
            </w:r>
            <w:proofErr w:type="spellEnd"/>
            <w:r w:rsidRPr="00D30AF3">
              <w:rPr>
                <w:rFonts w:ascii="Times New Roman" w:hAnsi="Times New Roman" w:cs="Times New Roman"/>
                <w:sz w:val="17"/>
                <w:szCs w:val="17"/>
              </w:rPr>
              <w:t xml:space="preserve"> accelerate licensing</w:t>
            </w:r>
          </w:p>
        </w:tc>
        <w:tc>
          <w:tcPr>
            <w:tcW w:w="1900" w:type="dxa"/>
            <w:tcMar>
              <w:top w:w="50" w:type="dxa"/>
              <w:left w:w="90" w:type="dxa"/>
              <w:bottom w:w="50" w:type="dxa"/>
              <w:right w:w="90" w:type="dxa"/>
            </w:tcMar>
            <w:vAlign w:val="center"/>
          </w:tcPr>
          <w:p w:rsidR="00D30AF3" w:rsidRPr="00D30AF3" w:rsidRDefault="00D30AF3" w:rsidP="00652173">
            <w:pPr>
              <w:rPr>
                <w:rFonts w:ascii="Times New Roman" w:hAnsi="Times New Roman" w:cs="Times New Roman"/>
              </w:rPr>
            </w:pPr>
            <w:r w:rsidRPr="00D30AF3">
              <w:rPr>
                <w:rFonts w:ascii="Times New Roman" w:hAnsi="Times New Roman" w:cs="Times New Roman"/>
                <w:sz w:val="17"/>
                <w:szCs w:val="17"/>
              </w:rPr>
              <w:t>Share &lt; 18%, or 4+ entrants/</w:t>
            </w:r>
            <w:proofErr w:type="spellStart"/>
            <w:r w:rsidRPr="00D30AF3">
              <w:rPr>
                <w:rFonts w:ascii="Times New Roman" w:hAnsi="Times New Roman" w:cs="Times New Roman"/>
                <w:sz w:val="17"/>
                <w:szCs w:val="17"/>
              </w:rPr>
              <w:t>qtr</w:t>
            </w:r>
            <w:proofErr w:type="spellEnd"/>
            <w:r w:rsidRPr="00D30AF3">
              <w:rPr>
                <w:rFonts w:ascii="Times New Roman" w:hAnsi="Times New Roman" w:cs="Times New Roman"/>
                <w:sz w:val="17"/>
                <w:szCs w:val="17"/>
              </w:rPr>
              <w:t xml:space="preserve"> escalate to Board Risk Committee</w:t>
            </w:r>
          </w:p>
        </w:tc>
      </w:tr>
      <w:tr w:rsidR="00D30AF3" w:rsidRPr="00D30AF3" w:rsidTr="00652173">
        <w:tc>
          <w:tcPr>
            <w:tcW w:w="820" w:type="dxa"/>
            <w:tcMar>
              <w:top w:w="50" w:type="dxa"/>
              <w:left w:w="90" w:type="dxa"/>
              <w:bottom w:w="50" w:type="dxa"/>
              <w:right w:w="90" w:type="dxa"/>
            </w:tcMar>
            <w:vAlign w:val="center"/>
          </w:tcPr>
          <w:p w:rsidR="00D30AF3" w:rsidRPr="00D30AF3" w:rsidRDefault="00D30AF3" w:rsidP="00652173">
            <w:pPr>
              <w:rPr>
                <w:rFonts w:ascii="Times New Roman" w:hAnsi="Times New Roman" w:cs="Times New Roman"/>
              </w:rPr>
            </w:pPr>
            <w:r w:rsidRPr="00D30AF3">
              <w:rPr>
                <w:rFonts w:ascii="Times New Roman" w:hAnsi="Times New Roman" w:cs="Times New Roman"/>
                <w:b/>
                <w:bCs/>
                <w:sz w:val="17"/>
                <w:szCs w:val="17"/>
              </w:rPr>
              <w:t>R-010</w:t>
            </w:r>
          </w:p>
        </w:tc>
        <w:tc>
          <w:tcPr>
            <w:tcW w:w="3640" w:type="dxa"/>
            <w:tcMar>
              <w:top w:w="50" w:type="dxa"/>
              <w:left w:w="90" w:type="dxa"/>
              <w:bottom w:w="50" w:type="dxa"/>
              <w:right w:w="90" w:type="dxa"/>
            </w:tcMar>
            <w:vAlign w:val="center"/>
          </w:tcPr>
          <w:p w:rsidR="00D30AF3" w:rsidRPr="00D30AF3" w:rsidRDefault="00D30AF3" w:rsidP="00652173">
            <w:pPr>
              <w:rPr>
                <w:rFonts w:ascii="Times New Roman" w:hAnsi="Times New Roman" w:cs="Times New Roman"/>
              </w:rPr>
            </w:pPr>
            <w:r w:rsidRPr="00D30AF3">
              <w:rPr>
                <w:rFonts w:ascii="Times New Roman" w:hAnsi="Times New Roman" w:cs="Times New Roman"/>
                <w:sz w:val="17"/>
                <w:szCs w:val="17"/>
              </w:rPr>
              <w:t>New preclinical/Phase 1 ADC combination programs per quarter; new external partnerships signed. Grounded in the 24–36-month first-mover window and the rapid pace of new ADC clinical entrants industry-wide, indicating how quickly a capability gap can close once visible.</w:t>
            </w:r>
          </w:p>
        </w:tc>
        <w:tc>
          <w:tcPr>
            <w:tcW w:w="1500" w:type="dxa"/>
            <w:tcMar>
              <w:top w:w="50" w:type="dxa"/>
              <w:left w:w="90" w:type="dxa"/>
              <w:bottom w:w="50" w:type="dxa"/>
              <w:right w:w="90" w:type="dxa"/>
            </w:tcMar>
            <w:vAlign w:val="center"/>
          </w:tcPr>
          <w:p w:rsidR="00D30AF3" w:rsidRPr="00D30AF3" w:rsidRDefault="00D30AF3" w:rsidP="00652173">
            <w:pPr>
              <w:rPr>
                <w:rFonts w:ascii="Times New Roman" w:hAnsi="Times New Roman" w:cs="Times New Roman"/>
              </w:rPr>
            </w:pPr>
            <w:r w:rsidRPr="00D30AF3">
              <w:rPr>
                <w:rFonts w:ascii="Times New Roman" w:hAnsi="Times New Roman" w:cs="Times New Roman"/>
                <w:sz w:val="17"/>
                <w:szCs w:val="17"/>
              </w:rPr>
              <w:t>≥ 4 new programs/</w:t>
            </w:r>
            <w:proofErr w:type="spellStart"/>
            <w:r w:rsidRPr="00D30AF3">
              <w:rPr>
                <w:rFonts w:ascii="Times New Roman" w:hAnsi="Times New Roman" w:cs="Times New Roman"/>
                <w:sz w:val="17"/>
                <w:szCs w:val="17"/>
              </w:rPr>
              <w:t>qtr</w:t>
            </w:r>
            <w:proofErr w:type="spellEnd"/>
            <w:r w:rsidRPr="00D30AF3">
              <w:rPr>
                <w:rFonts w:ascii="Times New Roman" w:hAnsi="Times New Roman" w:cs="Times New Roman"/>
                <w:sz w:val="17"/>
                <w:szCs w:val="17"/>
              </w:rPr>
              <w:t>; ≥ 1 partnership</w:t>
            </w:r>
          </w:p>
        </w:tc>
        <w:tc>
          <w:tcPr>
            <w:tcW w:w="1500" w:type="dxa"/>
            <w:tcMar>
              <w:top w:w="50" w:type="dxa"/>
              <w:left w:w="90" w:type="dxa"/>
              <w:bottom w:w="50" w:type="dxa"/>
              <w:right w:w="90" w:type="dxa"/>
            </w:tcMar>
            <w:vAlign w:val="center"/>
          </w:tcPr>
          <w:p w:rsidR="00D30AF3" w:rsidRPr="00D30AF3" w:rsidRDefault="00D30AF3" w:rsidP="00652173">
            <w:pPr>
              <w:rPr>
                <w:rFonts w:ascii="Times New Roman" w:hAnsi="Times New Roman" w:cs="Times New Roman"/>
              </w:rPr>
            </w:pPr>
            <w:r w:rsidRPr="00D30AF3">
              <w:rPr>
                <w:rFonts w:ascii="Times New Roman" w:hAnsi="Times New Roman" w:cs="Times New Roman"/>
                <w:sz w:val="17"/>
                <w:szCs w:val="17"/>
              </w:rPr>
              <w:t>2–3 programs/</w:t>
            </w:r>
            <w:proofErr w:type="spellStart"/>
            <w:r w:rsidRPr="00D30AF3">
              <w:rPr>
                <w:rFonts w:ascii="Times New Roman" w:hAnsi="Times New Roman" w:cs="Times New Roman"/>
                <w:sz w:val="17"/>
                <w:szCs w:val="17"/>
              </w:rPr>
              <w:t>qtr</w:t>
            </w:r>
            <w:proofErr w:type="spellEnd"/>
            <w:r w:rsidRPr="00D30AF3">
              <w:rPr>
                <w:rFonts w:ascii="Times New Roman" w:hAnsi="Times New Roman" w:cs="Times New Roman"/>
                <w:sz w:val="17"/>
                <w:szCs w:val="17"/>
              </w:rPr>
              <w:t>; no partnership review R&amp;D prioritization</w:t>
            </w:r>
          </w:p>
        </w:tc>
        <w:tc>
          <w:tcPr>
            <w:tcW w:w="1900" w:type="dxa"/>
            <w:tcMar>
              <w:top w:w="50" w:type="dxa"/>
              <w:left w:w="90" w:type="dxa"/>
              <w:bottom w:w="50" w:type="dxa"/>
              <w:right w:w="90" w:type="dxa"/>
            </w:tcMar>
            <w:vAlign w:val="center"/>
          </w:tcPr>
          <w:p w:rsidR="00D30AF3" w:rsidRPr="00D30AF3" w:rsidRDefault="00D30AF3" w:rsidP="00652173">
            <w:pPr>
              <w:rPr>
                <w:rFonts w:ascii="Times New Roman" w:hAnsi="Times New Roman" w:cs="Times New Roman"/>
              </w:rPr>
            </w:pPr>
            <w:r w:rsidRPr="00D30AF3">
              <w:rPr>
                <w:rFonts w:ascii="Times New Roman" w:hAnsi="Times New Roman" w:cs="Times New Roman"/>
                <w:sz w:val="17"/>
                <w:szCs w:val="17"/>
              </w:rPr>
              <w:t>&lt; 2 programs for two consecutive quarters escalate; a competitor announcing first is an automatic red</w:t>
            </w:r>
          </w:p>
        </w:tc>
      </w:tr>
      <w:tr w:rsidR="00D30AF3" w:rsidRPr="00D30AF3" w:rsidTr="00652173">
        <w:tc>
          <w:tcPr>
            <w:tcW w:w="820" w:type="dxa"/>
            <w:tcMar>
              <w:top w:w="50" w:type="dxa"/>
              <w:left w:w="90" w:type="dxa"/>
              <w:bottom w:w="50" w:type="dxa"/>
              <w:right w:w="90" w:type="dxa"/>
            </w:tcMar>
            <w:vAlign w:val="center"/>
          </w:tcPr>
          <w:p w:rsidR="00D30AF3" w:rsidRPr="00D30AF3" w:rsidRDefault="00D30AF3" w:rsidP="00652173">
            <w:pPr>
              <w:rPr>
                <w:rFonts w:ascii="Times New Roman" w:hAnsi="Times New Roman" w:cs="Times New Roman"/>
              </w:rPr>
            </w:pPr>
            <w:r w:rsidRPr="00D30AF3">
              <w:rPr>
                <w:rFonts w:ascii="Times New Roman" w:hAnsi="Times New Roman" w:cs="Times New Roman"/>
                <w:b/>
                <w:bCs/>
                <w:sz w:val="17"/>
                <w:szCs w:val="17"/>
              </w:rPr>
              <w:t>R-001</w:t>
            </w:r>
          </w:p>
        </w:tc>
        <w:tc>
          <w:tcPr>
            <w:tcW w:w="3640" w:type="dxa"/>
            <w:tcMar>
              <w:top w:w="50" w:type="dxa"/>
              <w:left w:w="90" w:type="dxa"/>
              <w:bottom w:w="50" w:type="dxa"/>
              <w:right w:w="90" w:type="dxa"/>
            </w:tcMar>
            <w:vAlign w:val="center"/>
          </w:tcPr>
          <w:p w:rsidR="00D30AF3" w:rsidRPr="00D30AF3" w:rsidRDefault="00D30AF3" w:rsidP="00652173">
            <w:pPr>
              <w:rPr>
                <w:rFonts w:ascii="Times New Roman" w:hAnsi="Times New Roman" w:cs="Times New Roman"/>
              </w:rPr>
            </w:pPr>
            <w:r w:rsidRPr="00D30AF3">
              <w:rPr>
                <w:rFonts w:ascii="Times New Roman" w:hAnsi="Times New Roman" w:cs="Times New Roman"/>
                <w:sz w:val="17"/>
                <w:szCs w:val="17"/>
              </w:rPr>
              <w:t xml:space="preserve">Monthly interest-coverage ratio (EBIT / interest expense). Thresholds informed by DCF stress testing showing severe-scenario coverage near 0.84× (below the 1.0× floor) and by Moody’s/S&amp;P post-close downgrades, </w:t>
            </w:r>
            <w:proofErr w:type="spellStart"/>
            <w:r w:rsidRPr="00D30AF3">
              <w:rPr>
                <w:rFonts w:ascii="Times New Roman" w:hAnsi="Times New Roman" w:cs="Times New Roman"/>
                <w:sz w:val="17"/>
                <w:szCs w:val="17"/>
              </w:rPr>
              <w:t>signalling</w:t>
            </w:r>
            <w:proofErr w:type="spellEnd"/>
            <w:r w:rsidRPr="00D30AF3">
              <w:rPr>
                <w:rFonts w:ascii="Times New Roman" w:hAnsi="Times New Roman" w:cs="Times New Roman"/>
                <w:sz w:val="17"/>
                <w:szCs w:val="17"/>
              </w:rPr>
              <w:t xml:space="preserve"> the market treats this as an active risk.</w:t>
            </w:r>
          </w:p>
        </w:tc>
        <w:tc>
          <w:tcPr>
            <w:tcW w:w="1500" w:type="dxa"/>
            <w:tcMar>
              <w:top w:w="50" w:type="dxa"/>
              <w:left w:w="90" w:type="dxa"/>
              <w:bottom w:w="50" w:type="dxa"/>
              <w:right w:w="90" w:type="dxa"/>
            </w:tcMar>
            <w:vAlign w:val="center"/>
          </w:tcPr>
          <w:p w:rsidR="00D30AF3" w:rsidRPr="00D30AF3" w:rsidRDefault="00D30AF3" w:rsidP="00652173">
            <w:pPr>
              <w:rPr>
                <w:rFonts w:ascii="Times New Roman" w:hAnsi="Times New Roman" w:cs="Times New Roman"/>
              </w:rPr>
            </w:pPr>
            <w:r w:rsidRPr="00D30AF3">
              <w:rPr>
                <w:rFonts w:ascii="Times New Roman" w:hAnsi="Times New Roman" w:cs="Times New Roman"/>
                <w:sz w:val="17"/>
                <w:szCs w:val="17"/>
              </w:rPr>
              <w:t>Coverage ≥ 1.5×</w:t>
            </w:r>
          </w:p>
        </w:tc>
        <w:tc>
          <w:tcPr>
            <w:tcW w:w="1500" w:type="dxa"/>
            <w:tcMar>
              <w:top w:w="50" w:type="dxa"/>
              <w:left w:w="90" w:type="dxa"/>
              <w:bottom w:w="50" w:type="dxa"/>
              <w:right w:w="90" w:type="dxa"/>
            </w:tcMar>
            <w:vAlign w:val="center"/>
          </w:tcPr>
          <w:p w:rsidR="00D30AF3" w:rsidRPr="00D30AF3" w:rsidRDefault="00D30AF3" w:rsidP="00652173">
            <w:pPr>
              <w:rPr>
                <w:rFonts w:ascii="Times New Roman" w:hAnsi="Times New Roman" w:cs="Times New Roman"/>
              </w:rPr>
            </w:pPr>
            <w:r w:rsidRPr="00D30AF3">
              <w:rPr>
                <w:rFonts w:ascii="Times New Roman" w:hAnsi="Times New Roman" w:cs="Times New Roman"/>
                <w:sz w:val="17"/>
                <w:szCs w:val="17"/>
              </w:rPr>
              <w:t>1.2–1.5×  begin pre-authorized CAPEX-deferral review</w:t>
            </w:r>
          </w:p>
        </w:tc>
        <w:tc>
          <w:tcPr>
            <w:tcW w:w="1900" w:type="dxa"/>
            <w:tcMar>
              <w:top w:w="50" w:type="dxa"/>
              <w:left w:w="90" w:type="dxa"/>
              <w:bottom w:w="50" w:type="dxa"/>
              <w:right w:w="90" w:type="dxa"/>
            </w:tcMar>
            <w:vAlign w:val="center"/>
          </w:tcPr>
          <w:p w:rsidR="00D30AF3" w:rsidRPr="00D30AF3" w:rsidRDefault="00D30AF3" w:rsidP="00652173">
            <w:pPr>
              <w:rPr>
                <w:rFonts w:ascii="Times New Roman" w:hAnsi="Times New Roman" w:cs="Times New Roman"/>
              </w:rPr>
            </w:pPr>
            <w:r w:rsidRPr="00D30AF3">
              <w:rPr>
                <w:rFonts w:ascii="Times New Roman" w:hAnsi="Times New Roman" w:cs="Times New Roman"/>
                <w:sz w:val="17"/>
                <w:szCs w:val="17"/>
              </w:rPr>
              <w:t>≤ 1.0× escalate to CFO and Treasury Committee immediately</w:t>
            </w:r>
          </w:p>
        </w:tc>
      </w:tr>
      <w:tr w:rsidR="00D30AF3" w:rsidRPr="00D30AF3" w:rsidTr="00652173">
        <w:tc>
          <w:tcPr>
            <w:tcW w:w="820" w:type="dxa"/>
            <w:tcMar>
              <w:top w:w="50" w:type="dxa"/>
              <w:left w:w="90" w:type="dxa"/>
              <w:bottom w:w="50" w:type="dxa"/>
              <w:right w:w="90" w:type="dxa"/>
            </w:tcMar>
            <w:vAlign w:val="center"/>
          </w:tcPr>
          <w:p w:rsidR="00D30AF3" w:rsidRPr="00D30AF3" w:rsidRDefault="00D30AF3" w:rsidP="00652173">
            <w:pPr>
              <w:rPr>
                <w:rFonts w:ascii="Times New Roman" w:hAnsi="Times New Roman" w:cs="Times New Roman"/>
              </w:rPr>
            </w:pPr>
            <w:r w:rsidRPr="00D30AF3">
              <w:rPr>
                <w:rFonts w:ascii="Times New Roman" w:hAnsi="Times New Roman" w:cs="Times New Roman"/>
                <w:b/>
                <w:bCs/>
                <w:sz w:val="17"/>
                <w:szCs w:val="17"/>
              </w:rPr>
              <w:t>R-002</w:t>
            </w:r>
          </w:p>
        </w:tc>
        <w:tc>
          <w:tcPr>
            <w:tcW w:w="3640" w:type="dxa"/>
            <w:tcMar>
              <w:top w:w="50" w:type="dxa"/>
              <w:left w:w="90" w:type="dxa"/>
              <w:bottom w:w="50" w:type="dxa"/>
              <w:right w:w="90" w:type="dxa"/>
            </w:tcMar>
            <w:vAlign w:val="center"/>
          </w:tcPr>
          <w:p w:rsidR="00D30AF3" w:rsidRPr="00D30AF3" w:rsidRDefault="00D30AF3" w:rsidP="00652173">
            <w:pPr>
              <w:rPr>
                <w:rFonts w:ascii="Times New Roman" w:hAnsi="Times New Roman" w:cs="Times New Roman"/>
              </w:rPr>
            </w:pPr>
            <w:r w:rsidRPr="00D30AF3">
              <w:rPr>
                <w:rFonts w:ascii="Times New Roman" w:hAnsi="Times New Roman" w:cs="Times New Roman"/>
                <w:sz w:val="17"/>
                <w:szCs w:val="17"/>
              </w:rPr>
              <w:t xml:space="preserve">Quarterly </w:t>
            </w:r>
            <w:proofErr w:type="spellStart"/>
            <w:r w:rsidRPr="00D30AF3">
              <w:rPr>
                <w:rFonts w:ascii="Times New Roman" w:hAnsi="Times New Roman" w:cs="Times New Roman"/>
                <w:sz w:val="17"/>
                <w:szCs w:val="17"/>
              </w:rPr>
              <w:t>Seagen</w:t>
            </w:r>
            <w:proofErr w:type="spellEnd"/>
            <w:r w:rsidRPr="00D30AF3">
              <w:rPr>
                <w:rFonts w:ascii="Times New Roman" w:hAnsi="Times New Roman" w:cs="Times New Roman"/>
                <w:sz w:val="17"/>
                <w:szCs w:val="17"/>
              </w:rPr>
              <w:t>-derived revenue versus the $10B-by-2030 trajectory. Grounded in 2025 actual revenue of ~$3.457B across the four marketed ADCs, below the straight-line run-rate to target.</w:t>
            </w:r>
          </w:p>
        </w:tc>
        <w:tc>
          <w:tcPr>
            <w:tcW w:w="1500" w:type="dxa"/>
            <w:tcMar>
              <w:top w:w="50" w:type="dxa"/>
              <w:left w:w="90" w:type="dxa"/>
              <w:bottom w:w="50" w:type="dxa"/>
              <w:right w:w="90" w:type="dxa"/>
            </w:tcMar>
            <w:vAlign w:val="center"/>
          </w:tcPr>
          <w:p w:rsidR="00D30AF3" w:rsidRPr="00D30AF3" w:rsidRDefault="00D30AF3" w:rsidP="00652173">
            <w:pPr>
              <w:rPr>
                <w:rFonts w:ascii="Times New Roman" w:hAnsi="Times New Roman" w:cs="Times New Roman"/>
              </w:rPr>
            </w:pPr>
            <w:r w:rsidRPr="00D30AF3">
              <w:rPr>
                <w:rFonts w:ascii="Times New Roman" w:hAnsi="Times New Roman" w:cs="Times New Roman"/>
                <w:sz w:val="17"/>
                <w:szCs w:val="17"/>
              </w:rPr>
              <w:t>≥ 95% of plan</w:t>
            </w:r>
          </w:p>
        </w:tc>
        <w:tc>
          <w:tcPr>
            <w:tcW w:w="1500" w:type="dxa"/>
            <w:tcMar>
              <w:top w:w="50" w:type="dxa"/>
              <w:left w:w="90" w:type="dxa"/>
              <w:bottom w:w="50" w:type="dxa"/>
              <w:right w:w="90" w:type="dxa"/>
            </w:tcMar>
            <w:vAlign w:val="center"/>
          </w:tcPr>
          <w:p w:rsidR="00D30AF3" w:rsidRPr="00D30AF3" w:rsidRDefault="00D30AF3" w:rsidP="00652173">
            <w:pPr>
              <w:rPr>
                <w:rFonts w:ascii="Times New Roman" w:hAnsi="Times New Roman" w:cs="Times New Roman"/>
              </w:rPr>
            </w:pPr>
            <w:r w:rsidRPr="00D30AF3">
              <w:rPr>
                <w:rFonts w:ascii="Times New Roman" w:hAnsi="Times New Roman" w:cs="Times New Roman"/>
                <w:sz w:val="17"/>
                <w:szCs w:val="17"/>
              </w:rPr>
              <w:t>80–94%  revisit ex-US commercialization pace</w:t>
            </w:r>
          </w:p>
        </w:tc>
        <w:tc>
          <w:tcPr>
            <w:tcW w:w="1900" w:type="dxa"/>
            <w:tcMar>
              <w:top w:w="50" w:type="dxa"/>
              <w:left w:w="90" w:type="dxa"/>
              <w:bottom w:w="50" w:type="dxa"/>
              <w:right w:w="90" w:type="dxa"/>
            </w:tcMar>
            <w:vAlign w:val="center"/>
          </w:tcPr>
          <w:p w:rsidR="00D30AF3" w:rsidRPr="00D30AF3" w:rsidRDefault="00D30AF3" w:rsidP="00652173">
            <w:pPr>
              <w:rPr>
                <w:rFonts w:ascii="Times New Roman" w:hAnsi="Times New Roman" w:cs="Times New Roman"/>
              </w:rPr>
            </w:pPr>
            <w:r w:rsidRPr="00D30AF3">
              <w:rPr>
                <w:rFonts w:ascii="Times New Roman" w:hAnsi="Times New Roman" w:cs="Times New Roman"/>
                <w:sz w:val="17"/>
                <w:szCs w:val="17"/>
              </w:rPr>
              <w:t>&lt; 80% for two consecutive quarters escalate to CFO/Chief Oncology Officer; trigger goodwill-impairment review (R-012)</w:t>
            </w:r>
          </w:p>
        </w:tc>
      </w:tr>
      <w:tr w:rsidR="00D30AF3" w:rsidRPr="00D30AF3" w:rsidTr="00652173">
        <w:tc>
          <w:tcPr>
            <w:tcW w:w="820" w:type="dxa"/>
            <w:tcMar>
              <w:top w:w="50" w:type="dxa"/>
              <w:left w:w="90" w:type="dxa"/>
              <w:bottom w:w="50" w:type="dxa"/>
              <w:right w:w="90" w:type="dxa"/>
            </w:tcMar>
            <w:vAlign w:val="center"/>
          </w:tcPr>
          <w:p w:rsidR="00D30AF3" w:rsidRPr="00D30AF3" w:rsidRDefault="00D30AF3" w:rsidP="00652173">
            <w:pPr>
              <w:rPr>
                <w:rFonts w:ascii="Times New Roman" w:hAnsi="Times New Roman" w:cs="Times New Roman"/>
              </w:rPr>
            </w:pPr>
            <w:r w:rsidRPr="00D30AF3">
              <w:rPr>
                <w:rFonts w:ascii="Times New Roman" w:hAnsi="Times New Roman" w:cs="Times New Roman"/>
                <w:b/>
                <w:bCs/>
                <w:sz w:val="17"/>
                <w:szCs w:val="17"/>
              </w:rPr>
              <w:t>R-017</w:t>
            </w:r>
          </w:p>
        </w:tc>
        <w:tc>
          <w:tcPr>
            <w:tcW w:w="3640" w:type="dxa"/>
            <w:tcMar>
              <w:top w:w="50" w:type="dxa"/>
              <w:left w:w="90" w:type="dxa"/>
              <w:bottom w:w="50" w:type="dxa"/>
              <w:right w:w="90" w:type="dxa"/>
            </w:tcMar>
            <w:vAlign w:val="center"/>
          </w:tcPr>
          <w:p w:rsidR="00D30AF3" w:rsidRPr="00D30AF3" w:rsidRDefault="00D30AF3" w:rsidP="00652173">
            <w:pPr>
              <w:rPr>
                <w:rFonts w:ascii="Times New Roman" w:hAnsi="Times New Roman" w:cs="Times New Roman"/>
              </w:rPr>
            </w:pPr>
            <w:r w:rsidRPr="00D30AF3">
              <w:rPr>
                <w:rFonts w:ascii="Times New Roman" w:hAnsi="Times New Roman" w:cs="Times New Roman"/>
                <w:sz w:val="17"/>
                <w:szCs w:val="17"/>
              </w:rPr>
              <w:t>Mean time to detect/respond to security incidents; unpatched critical vulnerabilities; ePHI access anomalies. Grounded in guidance that the post-signing, pre-full-integration window is the period of maximum cyber exposure, motivating same-day SOC log ingestion.</w:t>
            </w:r>
          </w:p>
        </w:tc>
        <w:tc>
          <w:tcPr>
            <w:tcW w:w="1500" w:type="dxa"/>
            <w:tcMar>
              <w:top w:w="50" w:type="dxa"/>
              <w:left w:w="90" w:type="dxa"/>
              <w:bottom w:w="50" w:type="dxa"/>
              <w:right w:w="90" w:type="dxa"/>
            </w:tcMar>
            <w:vAlign w:val="center"/>
          </w:tcPr>
          <w:p w:rsidR="00D30AF3" w:rsidRPr="00D30AF3" w:rsidRDefault="00D30AF3" w:rsidP="00652173">
            <w:pPr>
              <w:rPr>
                <w:rFonts w:ascii="Times New Roman" w:hAnsi="Times New Roman" w:cs="Times New Roman"/>
              </w:rPr>
            </w:pPr>
            <w:r w:rsidRPr="00D30AF3">
              <w:rPr>
                <w:rFonts w:ascii="Times New Roman" w:hAnsi="Times New Roman" w:cs="Times New Roman"/>
                <w:sz w:val="17"/>
                <w:szCs w:val="17"/>
              </w:rPr>
              <w:t>MTTD/MTTR within SLA; 0 unpatched critical CVEs &gt; 30 days</w:t>
            </w:r>
          </w:p>
        </w:tc>
        <w:tc>
          <w:tcPr>
            <w:tcW w:w="1500" w:type="dxa"/>
            <w:tcMar>
              <w:top w:w="50" w:type="dxa"/>
              <w:left w:w="90" w:type="dxa"/>
              <w:bottom w:w="50" w:type="dxa"/>
              <w:right w:w="90" w:type="dxa"/>
            </w:tcMar>
            <w:vAlign w:val="center"/>
          </w:tcPr>
          <w:p w:rsidR="00D30AF3" w:rsidRPr="00D30AF3" w:rsidRDefault="00D30AF3" w:rsidP="00652173">
            <w:pPr>
              <w:rPr>
                <w:rFonts w:ascii="Times New Roman" w:hAnsi="Times New Roman" w:cs="Times New Roman"/>
              </w:rPr>
            </w:pPr>
            <w:r w:rsidRPr="00D30AF3">
              <w:rPr>
                <w:rFonts w:ascii="Times New Roman" w:hAnsi="Times New Roman" w:cs="Times New Roman"/>
                <w:sz w:val="17"/>
                <w:szCs w:val="17"/>
              </w:rPr>
              <w:t>1–2 unpatched critical CVEs &gt; 30 days — escalate to CISO</w:t>
            </w:r>
          </w:p>
        </w:tc>
        <w:tc>
          <w:tcPr>
            <w:tcW w:w="1900" w:type="dxa"/>
            <w:tcMar>
              <w:top w:w="50" w:type="dxa"/>
              <w:left w:w="90" w:type="dxa"/>
              <w:bottom w:w="50" w:type="dxa"/>
              <w:right w:w="90" w:type="dxa"/>
            </w:tcMar>
            <w:vAlign w:val="center"/>
          </w:tcPr>
          <w:p w:rsidR="00D30AF3" w:rsidRPr="00D30AF3" w:rsidRDefault="00D30AF3" w:rsidP="00652173">
            <w:pPr>
              <w:rPr>
                <w:rFonts w:ascii="Times New Roman" w:hAnsi="Times New Roman" w:cs="Times New Roman"/>
              </w:rPr>
            </w:pPr>
            <w:r w:rsidRPr="00D30AF3">
              <w:rPr>
                <w:rFonts w:ascii="Times New Roman" w:hAnsi="Times New Roman" w:cs="Times New Roman"/>
                <w:sz w:val="17"/>
                <w:szCs w:val="17"/>
              </w:rPr>
              <w:t>Confirmed breach, ePHI exposure, or ransomware indicator escalate to CISO, Legal, Crisis team</w:t>
            </w:r>
          </w:p>
        </w:tc>
      </w:tr>
    </w:tbl>
    <w:p w:rsidR="00D30AF3" w:rsidRPr="00D30AF3" w:rsidRDefault="00D30AF3" w:rsidP="00D30AF3">
      <w:pPr>
        <w:spacing w:before="60" w:after="200"/>
        <w:jc w:val="center"/>
        <w:rPr>
          <w:rFonts w:ascii="Times New Roman" w:hAnsi="Times New Roman" w:cs="Times New Roman"/>
        </w:rPr>
      </w:pPr>
      <w:r w:rsidRPr="00D30AF3">
        <w:rPr>
          <w:rFonts w:ascii="Times New Roman" w:hAnsi="Times New Roman" w:cs="Times New Roman"/>
          <w:i/>
          <w:iCs/>
          <w:sz w:val="18"/>
          <w:szCs w:val="18"/>
        </w:rPr>
        <w:t>Table 4. Key Risk Indicators and escalation thresholds for the highest-priority risks, grounded in published benchmarks rather than team-estimated figures alone.</w:t>
      </w:r>
    </w:p>
    <w:p w:rsidR="00D30AF3" w:rsidRPr="00D30AF3" w:rsidRDefault="00D30AF3" w:rsidP="00D30AF3">
      <w:pPr>
        <w:pStyle w:val="Heading1"/>
        <w:rPr>
          <w:rFonts w:ascii="Times New Roman" w:hAnsi="Times New Roman" w:cs="Times New Roman"/>
        </w:rPr>
      </w:pPr>
    </w:p>
    <w:p w:rsidR="00D30AF3" w:rsidRPr="00D30AF3" w:rsidRDefault="00D30AF3" w:rsidP="00D30AF3">
      <w:pPr>
        <w:pStyle w:val="Heading1"/>
        <w:rPr>
          <w:rFonts w:ascii="Times New Roman" w:hAnsi="Times New Roman" w:cs="Times New Roman"/>
        </w:rPr>
      </w:pPr>
    </w:p>
    <w:p w:rsidR="00D30AF3" w:rsidRPr="00D30AF3" w:rsidRDefault="00D30AF3" w:rsidP="00D30AF3">
      <w:pPr>
        <w:pStyle w:val="Heading1"/>
        <w:rPr>
          <w:rFonts w:ascii="Times New Roman" w:hAnsi="Times New Roman" w:cs="Times New Roman"/>
        </w:rPr>
      </w:pPr>
    </w:p>
    <w:p w:rsidR="00D30AF3" w:rsidRPr="00D30AF3" w:rsidRDefault="00D30AF3" w:rsidP="00D30AF3">
      <w:pPr>
        <w:pStyle w:val="Heading1"/>
        <w:rPr>
          <w:rFonts w:ascii="Times New Roman" w:hAnsi="Times New Roman" w:cs="Times New Roman"/>
        </w:rPr>
      </w:pPr>
      <w:r w:rsidRPr="00D30AF3">
        <w:rPr>
          <w:rFonts w:ascii="Times New Roman" w:hAnsi="Times New Roman" w:cs="Times New Roman"/>
        </w:rPr>
        <w:t>Conclusion</w:t>
      </w:r>
    </w:p>
    <w:p w:rsidR="00D30AF3" w:rsidRPr="00D30AF3" w:rsidRDefault="00D30AF3" w:rsidP="00D30AF3">
      <w:pPr>
        <w:spacing w:after="140" w:line="252" w:lineRule="auto"/>
        <w:jc w:val="both"/>
        <w:rPr>
          <w:rFonts w:ascii="Times New Roman" w:hAnsi="Times New Roman" w:cs="Times New Roman"/>
        </w:rPr>
      </w:pPr>
      <w:r w:rsidRPr="00D30AF3">
        <w:rPr>
          <w:rFonts w:ascii="Times New Roman" w:hAnsi="Times New Roman" w:cs="Times New Roman"/>
        </w:rPr>
        <w:t xml:space="preserve">This assessment started with a clear question: can Pfizer actually deliver the strategic thesis behind its $43 billion acquisition of </w:t>
      </w:r>
      <w:proofErr w:type="spellStart"/>
      <w:r w:rsidRPr="00D30AF3">
        <w:rPr>
          <w:rFonts w:ascii="Times New Roman" w:hAnsi="Times New Roman" w:cs="Times New Roman"/>
        </w:rPr>
        <w:t>Seagen</w:t>
      </w:r>
      <w:proofErr w:type="spellEnd"/>
      <w:r w:rsidRPr="00D30AF3">
        <w:rPr>
          <w:rFonts w:ascii="Times New Roman" w:hAnsi="Times New Roman" w:cs="Times New Roman"/>
        </w:rPr>
        <w:t xml:space="preserve"> a $10 billion 2030 ADC revenue target given the competitive, financial, </w:t>
      </w:r>
      <w:proofErr w:type="spellStart"/>
      <w:r w:rsidRPr="00D30AF3">
        <w:rPr>
          <w:rFonts w:ascii="Times New Roman" w:hAnsi="Times New Roman" w:cs="Times New Roman"/>
        </w:rPr>
        <w:t>organisational</w:t>
      </w:r>
      <w:proofErr w:type="spellEnd"/>
      <w:r w:rsidRPr="00D30AF3">
        <w:rPr>
          <w:rFonts w:ascii="Times New Roman" w:hAnsi="Times New Roman" w:cs="Times New Roman"/>
        </w:rPr>
        <w:t xml:space="preserve">, and regulatory pressures the deal has created? The expanded twenty-risk register, the corrected heatmap, the Monte Carlo quantification of the three highest-priority competitive risks, and a KRI-aligned predictive model together give a qualified answer: the strategic logic is still intact, but delivering on it depends disproportionately on a small number of interconnected risks rather than on the </w:t>
      </w:r>
      <w:r w:rsidRPr="00D30AF3">
        <w:rPr>
          <w:rFonts w:ascii="Times New Roman" w:hAnsi="Times New Roman" w:cs="Times New Roman"/>
        </w:rPr>
        <w:lastRenderedPageBreak/>
        <w:t>deal’s overall financial structure. ADC market-share erosion carries the largest dollar exposure and the widest uncertainty of any risk in the model; talent attrition carries the highest probability of occurrence; and the combination-therapy opportunity that could offset both is time-limited and contingent on execution speed Pfizer has not yet demonstrated. The sensitivity analysis further shows that impact uncertainty, not probability uncertainty, dominates the exposure, telling management where to focus its analytical effort, and the validation step confirms that the quantitative and qualitative views agree on which risks matter most.</w:t>
      </w:r>
    </w:p>
    <w:p w:rsidR="00D30AF3" w:rsidRPr="00D30AF3" w:rsidRDefault="00D30AF3" w:rsidP="00D30AF3">
      <w:pPr>
        <w:spacing w:after="140" w:line="252" w:lineRule="auto"/>
        <w:jc w:val="both"/>
        <w:rPr>
          <w:rFonts w:ascii="Times New Roman" w:hAnsi="Times New Roman" w:cs="Times New Roman"/>
        </w:rPr>
      </w:pPr>
      <w:r w:rsidRPr="00D30AF3">
        <w:rPr>
          <w:rFonts w:ascii="Times New Roman" w:hAnsi="Times New Roman" w:cs="Times New Roman"/>
        </w:rPr>
        <w:t xml:space="preserve">The most important takeaway from a methodology standpoint is that qualitative scoring, quantitative simulation, machine-learning prediction, and externally grounded KRI thresholds are not four separate exercises they are four views of the same underlying risk system. Treating them that way, rather than producing a register, a Monte Carlo model, an ML notebook, and a KRI table as disconnected deliverables, is what allows an integration team to spot the self-defeating feedback loop between synergy capture and talent retention before it becomes a </w:t>
      </w:r>
      <w:proofErr w:type="spellStart"/>
      <w:r w:rsidRPr="00D30AF3">
        <w:rPr>
          <w:rFonts w:ascii="Times New Roman" w:hAnsi="Times New Roman" w:cs="Times New Roman"/>
        </w:rPr>
        <w:t>realised</w:t>
      </w:r>
      <w:proofErr w:type="spellEnd"/>
      <w:r w:rsidRPr="00D30AF3">
        <w:rPr>
          <w:rFonts w:ascii="Times New Roman" w:hAnsi="Times New Roman" w:cs="Times New Roman"/>
        </w:rPr>
        <w:t xml:space="preserve"> loss rather than after. For a transaction of this scale, that kind of connected risk intelligence is not a compliance exercise. It is the difference between the acquisition’s thesis becoming </w:t>
      </w:r>
      <w:proofErr w:type="spellStart"/>
      <w:r w:rsidRPr="00D30AF3">
        <w:rPr>
          <w:rFonts w:ascii="Times New Roman" w:hAnsi="Times New Roman" w:cs="Times New Roman"/>
        </w:rPr>
        <w:t>realised</w:t>
      </w:r>
      <w:proofErr w:type="spellEnd"/>
      <w:r w:rsidRPr="00D30AF3">
        <w:rPr>
          <w:rFonts w:ascii="Times New Roman" w:hAnsi="Times New Roman" w:cs="Times New Roman"/>
        </w:rPr>
        <w:t xml:space="preserve"> shareholder value or an expensive lesson in execution risk.</w:t>
      </w:r>
    </w:p>
    <w:p w:rsidR="00D30AF3" w:rsidRPr="00D30AF3" w:rsidRDefault="00D30AF3" w:rsidP="00D30AF3">
      <w:pPr>
        <w:pStyle w:val="Heading1"/>
        <w:rPr>
          <w:rFonts w:ascii="Times New Roman" w:hAnsi="Times New Roman" w:cs="Times New Roman"/>
        </w:rPr>
      </w:pPr>
      <w:r w:rsidRPr="00D30AF3">
        <w:rPr>
          <w:rFonts w:ascii="Times New Roman" w:hAnsi="Times New Roman" w:cs="Times New Roman"/>
        </w:rPr>
        <w:t>Appendix 1: Complete Risk Treatment and Response Plan (RT&amp;RP)</w:t>
      </w:r>
    </w:p>
    <w:p w:rsidR="00D30AF3" w:rsidRPr="00D30AF3" w:rsidRDefault="00D30AF3" w:rsidP="00D30AF3">
      <w:pPr>
        <w:spacing w:after="120" w:line="252" w:lineRule="auto"/>
        <w:jc w:val="both"/>
        <w:rPr>
          <w:rFonts w:ascii="Times New Roman" w:hAnsi="Times New Roman" w:cs="Times New Roman"/>
        </w:rPr>
      </w:pPr>
      <w:r w:rsidRPr="00D30AF3">
        <w:rPr>
          <w:rFonts w:ascii="Times New Roman" w:hAnsi="Times New Roman" w:cs="Times New Roman"/>
        </w:rPr>
        <w:t>The table below brings together the Risk Treatment and Response Plan for the register’s highest-priority risks, combining the response strategy, primary KRI, residual-risk position after treatment, and accountable owner covered in the body of this report.</w:t>
      </w:r>
    </w:p>
    <w:tbl>
      <w:tblPr>
        <w:tblW w:w="936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CellMar>
          <w:left w:w="10" w:type="dxa"/>
          <w:right w:w="10" w:type="dxa"/>
        </w:tblCellMar>
        <w:tblLook w:val="04A0" w:firstRow="1" w:lastRow="0" w:firstColumn="1" w:lastColumn="0" w:noHBand="0" w:noVBand="1"/>
      </w:tblPr>
      <w:tblGrid>
        <w:gridCol w:w="747"/>
        <w:gridCol w:w="1850"/>
        <w:gridCol w:w="984"/>
        <w:gridCol w:w="1957"/>
        <w:gridCol w:w="1486"/>
        <w:gridCol w:w="1315"/>
        <w:gridCol w:w="1021"/>
      </w:tblGrid>
      <w:tr w:rsidR="00D30AF3" w:rsidRPr="00D30AF3" w:rsidTr="00652173">
        <w:trPr>
          <w:tblHeader/>
        </w:trPr>
        <w:tc>
          <w:tcPr>
            <w:tcW w:w="760" w:type="dxa"/>
            <w:shd w:val="clear" w:color="auto" w:fill="2E5A88"/>
            <w:tcMar>
              <w:top w:w="60" w:type="dxa"/>
              <w:left w:w="90" w:type="dxa"/>
              <w:bottom w:w="60" w:type="dxa"/>
              <w:right w:w="90" w:type="dxa"/>
            </w:tcMar>
            <w:vAlign w:val="center"/>
          </w:tcPr>
          <w:p w:rsidR="00D30AF3" w:rsidRPr="00D30AF3" w:rsidRDefault="00D30AF3" w:rsidP="00652173">
            <w:pPr>
              <w:rPr>
                <w:rFonts w:ascii="Times New Roman" w:hAnsi="Times New Roman" w:cs="Times New Roman"/>
              </w:rPr>
            </w:pPr>
            <w:r w:rsidRPr="00D30AF3">
              <w:rPr>
                <w:rFonts w:ascii="Times New Roman" w:hAnsi="Times New Roman" w:cs="Times New Roman"/>
                <w:b/>
                <w:bCs/>
                <w:color w:val="FFFFFF"/>
                <w:sz w:val="17"/>
                <w:szCs w:val="17"/>
              </w:rPr>
              <w:t>Risk</w:t>
            </w:r>
          </w:p>
        </w:tc>
        <w:tc>
          <w:tcPr>
            <w:tcW w:w="1900" w:type="dxa"/>
            <w:shd w:val="clear" w:color="auto" w:fill="2E5A88"/>
            <w:tcMar>
              <w:top w:w="60" w:type="dxa"/>
              <w:left w:w="90" w:type="dxa"/>
              <w:bottom w:w="60" w:type="dxa"/>
              <w:right w:w="90" w:type="dxa"/>
            </w:tcMar>
            <w:vAlign w:val="center"/>
          </w:tcPr>
          <w:p w:rsidR="00D30AF3" w:rsidRPr="00D30AF3" w:rsidRDefault="00D30AF3" w:rsidP="00652173">
            <w:pPr>
              <w:rPr>
                <w:rFonts w:ascii="Times New Roman" w:hAnsi="Times New Roman" w:cs="Times New Roman"/>
              </w:rPr>
            </w:pPr>
            <w:r w:rsidRPr="00D30AF3">
              <w:rPr>
                <w:rFonts w:ascii="Times New Roman" w:hAnsi="Times New Roman" w:cs="Times New Roman"/>
                <w:b/>
                <w:bCs/>
                <w:color w:val="FFFFFF"/>
                <w:sz w:val="17"/>
                <w:szCs w:val="17"/>
              </w:rPr>
              <w:t>Description</w:t>
            </w:r>
          </w:p>
        </w:tc>
        <w:tc>
          <w:tcPr>
            <w:tcW w:w="1000" w:type="dxa"/>
            <w:shd w:val="clear" w:color="auto" w:fill="2E5A88"/>
            <w:tcMar>
              <w:top w:w="60" w:type="dxa"/>
              <w:left w:w="90" w:type="dxa"/>
              <w:bottom w:w="60" w:type="dxa"/>
              <w:right w:w="90" w:type="dxa"/>
            </w:tcMar>
            <w:vAlign w:val="center"/>
          </w:tcPr>
          <w:p w:rsidR="00D30AF3" w:rsidRPr="00D30AF3" w:rsidRDefault="00D30AF3" w:rsidP="00652173">
            <w:pPr>
              <w:rPr>
                <w:rFonts w:ascii="Times New Roman" w:hAnsi="Times New Roman" w:cs="Times New Roman"/>
              </w:rPr>
            </w:pPr>
            <w:r w:rsidRPr="00D30AF3">
              <w:rPr>
                <w:rFonts w:ascii="Times New Roman" w:hAnsi="Times New Roman" w:cs="Times New Roman"/>
                <w:b/>
                <w:bCs/>
                <w:color w:val="FFFFFF"/>
                <w:sz w:val="17"/>
                <w:szCs w:val="17"/>
              </w:rPr>
              <w:t>Score / Priority</w:t>
            </w:r>
          </w:p>
        </w:tc>
        <w:tc>
          <w:tcPr>
            <w:tcW w:w="2000" w:type="dxa"/>
            <w:shd w:val="clear" w:color="auto" w:fill="2E5A88"/>
            <w:tcMar>
              <w:top w:w="60" w:type="dxa"/>
              <w:left w:w="90" w:type="dxa"/>
              <w:bottom w:w="60" w:type="dxa"/>
              <w:right w:w="90" w:type="dxa"/>
            </w:tcMar>
            <w:vAlign w:val="center"/>
          </w:tcPr>
          <w:p w:rsidR="00D30AF3" w:rsidRPr="00D30AF3" w:rsidRDefault="00D30AF3" w:rsidP="00652173">
            <w:pPr>
              <w:rPr>
                <w:rFonts w:ascii="Times New Roman" w:hAnsi="Times New Roman" w:cs="Times New Roman"/>
              </w:rPr>
            </w:pPr>
            <w:r w:rsidRPr="00D30AF3">
              <w:rPr>
                <w:rFonts w:ascii="Times New Roman" w:hAnsi="Times New Roman" w:cs="Times New Roman"/>
                <w:b/>
                <w:bCs/>
                <w:color w:val="FFFFFF"/>
                <w:sz w:val="17"/>
                <w:szCs w:val="17"/>
              </w:rPr>
              <w:t>Response Strategy</w:t>
            </w:r>
          </w:p>
        </w:tc>
        <w:tc>
          <w:tcPr>
            <w:tcW w:w="1500" w:type="dxa"/>
            <w:shd w:val="clear" w:color="auto" w:fill="2E5A88"/>
            <w:tcMar>
              <w:top w:w="60" w:type="dxa"/>
              <w:left w:w="90" w:type="dxa"/>
              <w:bottom w:w="60" w:type="dxa"/>
              <w:right w:w="90" w:type="dxa"/>
            </w:tcMar>
            <w:vAlign w:val="center"/>
          </w:tcPr>
          <w:p w:rsidR="00D30AF3" w:rsidRPr="00D30AF3" w:rsidRDefault="00D30AF3" w:rsidP="00652173">
            <w:pPr>
              <w:rPr>
                <w:rFonts w:ascii="Times New Roman" w:hAnsi="Times New Roman" w:cs="Times New Roman"/>
              </w:rPr>
            </w:pPr>
            <w:r w:rsidRPr="00D30AF3">
              <w:rPr>
                <w:rFonts w:ascii="Times New Roman" w:hAnsi="Times New Roman" w:cs="Times New Roman"/>
                <w:b/>
                <w:bCs/>
                <w:color w:val="FFFFFF"/>
                <w:sz w:val="17"/>
                <w:szCs w:val="17"/>
              </w:rPr>
              <w:t>Primary KRI</w:t>
            </w:r>
          </w:p>
        </w:tc>
        <w:tc>
          <w:tcPr>
            <w:tcW w:w="1340" w:type="dxa"/>
            <w:shd w:val="clear" w:color="auto" w:fill="2E5A88"/>
            <w:tcMar>
              <w:top w:w="60" w:type="dxa"/>
              <w:left w:w="90" w:type="dxa"/>
              <w:bottom w:w="60" w:type="dxa"/>
              <w:right w:w="90" w:type="dxa"/>
            </w:tcMar>
            <w:vAlign w:val="center"/>
          </w:tcPr>
          <w:p w:rsidR="00D30AF3" w:rsidRPr="00D30AF3" w:rsidRDefault="00D30AF3" w:rsidP="00652173">
            <w:pPr>
              <w:rPr>
                <w:rFonts w:ascii="Times New Roman" w:hAnsi="Times New Roman" w:cs="Times New Roman"/>
              </w:rPr>
            </w:pPr>
            <w:r w:rsidRPr="00D30AF3">
              <w:rPr>
                <w:rFonts w:ascii="Times New Roman" w:hAnsi="Times New Roman" w:cs="Times New Roman"/>
                <w:b/>
                <w:bCs/>
                <w:color w:val="FFFFFF"/>
                <w:sz w:val="17"/>
                <w:szCs w:val="17"/>
              </w:rPr>
              <w:t>Residual Risk After Treatment</w:t>
            </w:r>
          </w:p>
        </w:tc>
        <w:tc>
          <w:tcPr>
            <w:tcW w:w="860" w:type="dxa"/>
            <w:shd w:val="clear" w:color="auto" w:fill="2E5A88"/>
            <w:tcMar>
              <w:top w:w="60" w:type="dxa"/>
              <w:left w:w="90" w:type="dxa"/>
              <w:bottom w:w="60" w:type="dxa"/>
              <w:right w:w="90" w:type="dxa"/>
            </w:tcMar>
            <w:vAlign w:val="center"/>
          </w:tcPr>
          <w:p w:rsidR="00D30AF3" w:rsidRPr="00D30AF3" w:rsidRDefault="00D30AF3" w:rsidP="00652173">
            <w:pPr>
              <w:rPr>
                <w:rFonts w:ascii="Times New Roman" w:hAnsi="Times New Roman" w:cs="Times New Roman"/>
              </w:rPr>
            </w:pPr>
            <w:r w:rsidRPr="00D30AF3">
              <w:rPr>
                <w:rFonts w:ascii="Times New Roman" w:hAnsi="Times New Roman" w:cs="Times New Roman"/>
                <w:b/>
                <w:bCs/>
                <w:color w:val="FFFFFF"/>
                <w:sz w:val="17"/>
                <w:szCs w:val="17"/>
              </w:rPr>
              <w:t>Owner</w:t>
            </w:r>
          </w:p>
        </w:tc>
      </w:tr>
      <w:tr w:rsidR="00D30AF3" w:rsidRPr="00D30AF3" w:rsidTr="00652173">
        <w:tc>
          <w:tcPr>
            <w:tcW w:w="760" w:type="dxa"/>
            <w:tcMar>
              <w:top w:w="50" w:type="dxa"/>
              <w:left w:w="90" w:type="dxa"/>
              <w:bottom w:w="50" w:type="dxa"/>
              <w:right w:w="90" w:type="dxa"/>
            </w:tcMar>
            <w:vAlign w:val="center"/>
          </w:tcPr>
          <w:p w:rsidR="00D30AF3" w:rsidRPr="00D30AF3" w:rsidRDefault="00D30AF3" w:rsidP="00652173">
            <w:pPr>
              <w:rPr>
                <w:rFonts w:ascii="Times New Roman" w:hAnsi="Times New Roman" w:cs="Times New Roman"/>
              </w:rPr>
            </w:pPr>
            <w:r w:rsidRPr="00D30AF3">
              <w:rPr>
                <w:rFonts w:ascii="Times New Roman" w:hAnsi="Times New Roman" w:cs="Times New Roman"/>
                <w:b/>
                <w:bCs/>
                <w:sz w:val="17"/>
                <w:szCs w:val="17"/>
              </w:rPr>
              <w:t>R-006</w:t>
            </w:r>
          </w:p>
        </w:tc>
        <w:tc>
          <w:tcPr>
            <w:tcW w:w="1900" w:type="dxa"/>
            <w:tcMar>
              <w:top w:w="50" w:type="dxa"/>
              <w:left w:w="90" w:type="dxa"/>
              <w:bottom w:w="50" w:type="dxa"/>
              <w:right w:w="90" w:type="dxa"/>
            </w:tcMar>
            <w:vAlign w:val="center"/>
          </w:tcPr>
          <w:p w:rsidR="00D30AF3" w:rsidRPr="00D30AF3" w:rsidRDefault="00D30AF3" w:rsidP="00652173">
            <w:pPr>
              <w:rPr>
                <w:rFonts w:ascii="Times New Roman" w:hAnsi="Times New Roman" w:cs="Times New Roman"/>
              </w:rPr>
            </w:pPr>
            <w:r w:rsidRPr="00D30AF3">
              <w:rPr>
                <w:rFonts w:ascii="Times New Roman" w:hAnsi="Times New Roman" w:cs="Times New Roman"/>
                <w:sz w:val="17"/>
                <w:szCs w:val="17"/>
              </w:rPr>
              <w:t xml:space="preserve">Key ADC talent attrition from former </w:t>
            </w:r>
            <w:proofErr w:type="spellStart"/>
            <w:r w:rsidRPr="00D30AF3">
              <w:rPr>
                <w:rFonts w:ascii="Times New Roman" w:hAnsi="Times New Roman" w:cs="Times New Roman"/>
                <w:sz w:val="17"/>
                <w:szCs w:val="17"/>
              </w:rPr>
              <w:t>Seagen</w:t>
            </w:r>
            <w:proofErr w:type="spellEnd"/>
            <w:r w:rsidRPr="00D30AF3">
              <w:rPr>
                <w:rFonts w:ascii="Times New Roman" w:hAnsi="Times New Roman" w:cs="Times New Roman"/>
                <w:sz w:val="17"/>
                <w:szCs w:val="17"/>
              </w:rPr>
              <w:t xml:space="preserve"> organization</w:t>
            </w:r>
          </w:p>
        </w:tc>
        <w:tc>
          <w:tcPr>
            <w:tcW w:w="1000" w:type="dxa"/>
            <w:tcMar>
              <w:top w:w="50" w:type="dxa"/>
              <w:left w:w="90" w:type="dxa"/>
              <w:bottom w:w="50" w:type="dxa"/>
              <w:right w:w="90" w:type="dxa"/>
            </w:tcMar>
            <w:vAlign w:val="center"/>
          </w:tcPr>
          <w:p w:rsidR="00D30AF3" w:rsidRPr="00D30AF3" w:rsidRDefault="00D30AF3" w:rsidP="00652173">
            <w:pPr>
              <w:rPr>
                <w:rFonts w:ascii="Times New Roman" w:hAnsi="Times New Roman" w:cs="Times New Roman"/>
              </w:rPr>
            </w:pPr>
            <w:r w:rsidRPr="00D30AF3">
              <w:rPr>
                <w:rFonts w:ascii="Times New Roman" w:hAnsi="Times New Roman" w:cs="Times New Roman"/>
                <w:b/>
                <w:bCs/>
                <w:sz w:val="17"/>
                <w:szCs w:val="17"/>
              </w:rPr>
              <w:t>72 / Critical</w:t>
            </w:r>
          </w:p>
        </w:tc>
        <w:tc>
          <w:tcPr>
            <w:tcW w:w="2000" w:type="dxa"/>
            <w:tcMar>
              <w:top w:w="50" w:type="dxa"/>
              <w:left w:w="90" w:type="dxa"/>
              <w:bottom w:w="50" w:type="dxa"/>
              <w:right w:w="90" w:type="dxa"/>
            </w:tcMar>
            <w:vAlign w:val="center"/>
          </w:tcPr>
          <w:p w:rsidR="00D30AF3" w:rsidRPr="00D30AF3" w:rsidRDefault="00D30AF3" w:rsidP="00652173">
            <w:pPr>
              <w:rPr>
                <w:rFonts w:ascii="Times New Roman" w:hAnsi="Times New Roman" w:cs="Times New Roman"/>
              </w:rPr>
            </w:pPr>
            <w:r w:rsidRPr="00D30AF3">
              <w:rPr>
                <w:rFonts w:ascii="Times New Roman" w:hAnsi="Times New Roman" w:cs="Times New Roman"/>
                <w:sz w:val="17"/>
                <w:szCs w:val="17"/>
              </w:rPr>
              <w:t>Mitigate: retention equity, R&amp;D independence, executive sponsorship, non-solicitation</w:t>
            </w:r>
          </w:p>
        </w:tc>
        <w:tc>
          <w:tcPr>
            <w:tcW w:w="1500" w:type="dxa"/>
            <w:tcMar>
              <w:top w:w="50" w:type="dxa"/>
              <w:left w:w="90" w:type="dxa"/>
              <w:bottom w:w="50" w:type="dxa"/>
              <w:right w:w="90" w:type="dxa"/>
            </w:tcMar>
            <w:vAlign w:val="center"/>
          </w:tcPr>
          <w:p w:rsidR="00D30AF3" w:rsidRPr="00D30AF3" w:rsidRDefault="00D30AF3" w:rsidP="00652173">
            <w:pPr>
              <w:rPr>
                <w:rFonts w:ascii="Times New Roman" w:hAnsi="Times New Roman" w:cs="Times New Roman"/>
              </w:rPr>
            </w:pPr>
            <w:r w:rsidRPr="00D30AF3">
              <w:rPr>
                <w:rFonts w:ascii="Times New Roman" w:hAnsi="Times New Roman" w:cs="Times New Roman"/>
                <w:sz w:val="17"/>
                <w:szCs w:val="17"/>
              </w:rPr>
              <w:t>Monthly voluntary departure rate; critical-scientist list</w:t>
            </w:r>
          </w:p>
        </w:tc>
        <w:tc>
          <w:tcPr>
            <w:tcW w:w="1340" w:type="dxa"/>
            <w:tcMar>
              <w:top w:w="50" w:type="dxa"/>
              <w:left w:w="90" w:type="dxa"/>
              <w:bottom w:w="50" w:type="dxa"/>
              <w:right w:w="90" w:type="dxa"/>
            </w:tcMar>
            <w:vAlign w:val="center"/>
          </w:tcPr>
          <w:p w:rsidR="00D30AF3" w:rsidRPr="00D30AF3" w:rsidRDefault="00D30AF3" w:rsidP="00652173">
            <w:pPr>
              <w:rPr>
                <w:rFonts w:ascii="Times New Roman" w:hAnsi="Times New Roman" w:cs="Times New Roman"/>
              </w:rPr>
            </w:pPr>
            <w:r w:rsidRPr="00D30AF3">
              <w:rPr>
                <w:rFonts w:ascii="Times New Roman" w:hAnsi="Times New Roman" w:cs="Times New Roman"/>
                <w:sz w:val="17"/>
                <w:szCs w:val="17"/>
              </w:rPr>
              <w:t>Moderate reduced but not eliminated; 55% modeled probability</w:t>
            </w:r>
          </w:p>
        </w:tc>
        <w:tc>
          <w:tcPr>
            <w:tcW w:w="860" w:type="dxa"/>
            <w:tcMar>
              <w:top w:w="50" w:type="dxa"/>
              <w:left w:w="90" w:type="dxa"/>
              <w:bottom w:w="50" w:type="dxa"/>
              <w:right w:w="90" w:type="dxa"/>
            </w:tcMar>
            <w:vAlign w:val="center"/>
          </w:tcPr>
          <w:p w:rsidR="00D30AF3" w:rsidRPr="00D30AF3" w:rsidRDefault="00D30AF3" w:rsidP="00652173">
            <w:pPr>
              <w:jc w:val="center"/>
              <w:rPr>
                <w:rFonts w:ascii="Times New Roman" w:hAnsi="Times New Roman" w:cs="Times New Roman"/>
              </w:rPr>
            </w:pPr>
            <w:r w:rsidRPr="00D30AF3">
              <w:rPr>
                <w:rFonts w:ascii="Times New Roman" w:hAnsi="Times New Roman" w:cs="Times New Roman"/>
                <w:sz w:val="17"/>
                <w:szCs w:val="17"/>
              </w:rPr>
              <w:t>CHRO / IMO</w:t>
            </w:r>
          </w:p>
        </w:tc>
      </w:tr>
      <w:tr w:rsidR="00D30AF3" w:rsidRPr="00D30AF3" w:rsidTr="00652173">
        <w:tc>
          <w:tcPr>
            <w:tcW w:w="760" w:type="dxa"/>
            <w:tcMar>
              <w:top w:w="50" w:type="dxa"/>
              <w:left w:w="90" w:type="dxa"/>
              <w:bottom w:w="50" w:type="dxa"/>
              <w:right w:w="90" w:type="dxa"/>
            </w:tcMar>
            <w:vAlign w:val="center"/>
          </w:tcPr>
          <w:p w:rsidR="00D30AF3" w:rsidRPr="00D30AF3" w:rsidRDefault="00D30AF3" w:rsidP="00652173">
            <w:pPr>
              <w:rPr>
                <w:rFonts w:ascii="Times New Roman" w:hAnsi="Times New Roman" w:cs="Times New Roman"/>
              </w:rPr>
            </w:pPr>
            <w:r w:rsidRPr="00D30AF3">
              <w:rPr>
                <w:rFonts w:ascii="Times New Roman" w:hAnsi="Times New Roman" w:cs="Times New Roman"/>
                <w:b/>
                <w:bCs/>
                <w:sz w:val="17"/>
                <w:szCs w:val="17"/>
              </w:rPr>
              <w:t>R-MSE</w:t>
            </w:r>
          </w:p>
        </w:tc>
        <w:tc>
          <w:tcPr>
            <w:tcW w:w="1900" w:type="dxa"/>
            <w:tcMar>
              <w:top w:w="50" w:type="dxa"/>
              <w:left w:w="90" w:type="dxa"/>
              <w:bottom w:w="50" w:type="dxa"/>
              <w:right w:w="90" w:type="dxa"/>
            </w:tcMar>
            <w:vAlign w:val="center"/>
          </w:tcPr>
          <w:p w:rsidR="00D30AF3" w:rsidRPr="00D30AF3" w:rsidRDefault="00D30AF3" w:rsidP="00652173">
            <w:pPr>
              <w:rPr>
                <w:rFonts w:ascii="Times New Roman" w:hAnsi="Times New Roman" w:cs="Times New Roman"/>
              </w:rPr>
            </w:pPr>
            <w:r w:rsidRPr="00D30AF3">
              <w:rPr>
                <w:rFonts w:ascii="Times New Roman" w:hAnsi="Times New Roman" w:cs="Times New Roman"/>
                <w:sz w:val="17"/>
                <w:szCs w:val="17"/>
              </w:rPr>
              <w:t>ADC market-share erosion</w:t>
            </w:r>
          </w:p>
        </w:tc>
        <w:tc>
          <w:tcPr>
            <w:tcW w:w="1000" w:type="dxa"/>
            <w:tcMar>
              <w:top w:w="50" w:type="dxa"/>
              <w:left w:w="90" w:type="dxa"/>
              <w:bottom w:w="50" w:type="dxa"/>
              <w:right w:w="90" w:type="dxa"/>
            </w:tcMar>
            <w:vAlign w:val="center"/>
          </w:tcPr>
          <w:p w:rsidR="00D30AF3" w:rsidRPr="00D30AF3" w:rsidRDefault="00D30AF3" w:rsidP="00652173">
            <w:pPr>
              <w:rPr>
                <w:rFonts w:ascii="Times New Roman" w:hAnsi="Times New Roman" w:cs="Times New Roman"/>
              </w:rPr>
            </w:pPr>
            <w:r w:rsidRPr="00D30AF3">
              <w:rPr>
                <w:rFonts w:ascii="Times New Roman" w:hAnsi="Times New Roman" w:cs="Times New Roman"/>
                <w:b/>
                <w:bCs/>
                <w:sz w:val="17"/>
                <w:szCs w:val="17"/>
              </w:rPr>
              <w:t>63 / High</w:t>
            </w:r>
          </w:p>
        </w:tc>
        <w:tc>
          <w:tcPr>
            <w:tcW w:w="2000" w:type="dxa"/>
            <w:tcMar>
              <w:top w:w="50" w:type="dxa"/>
              <w:left w:w="90" w:type="dxa"/>
              <w:bottom w:w="50" w:type="dxa"/>
              <w:right w:w="90" w:type="dxa"/>
            </w:tcMar>
            <w:vAlign w:val="center"/>
          </w:tcPr>
          <w:p w:rsidR="00D30AF3" w:rsidRPr="00D30AF3" w:rsidRDefault="00D30AF3" w:rsidP="00652173">
            <w:pPr>
              <w:rPr>
                <w:rFonts w:ascii="Times New Roman" w:hAnsi="Times New Roman" w:cs="Times New Roman"/>
              </w:rPr>
            </w:pPr>
            <w:r w:rsidRPr="00D30AF3">
              <w:rPr>
                <w:rFonts w:ascii="Times New Roman" w:hAnsi="Times New Roman" w:cs="Times New Roman"/>
                <w:sz w:val="17"/>
                <w:szCs w:val="17"/>
              </w:rPr>
              <w:t>Mitigate + bounded acceptance: accelerate pipeline, real-world evidence</w:t>
            </w:r>
          </w:p>
        </w:tc>
        <w:tc>
          <w:tcPr>
            <w:tcW w:w="1500" w:type="dxa"/>
            <w:tcMar>
              <w:top w:w="50" w:type="dxa"/>
              <w:left w:w="90" w:type="dxa"/>
              <w:bottom w:w="50" w:type="dxa"/>
              <w:right w:w="90" w:type="dxa"/>
            </w:tcMar>
            <w:vAlign w:val="center"/>
          </w:tcPr>
          <w:p w:rsidR="00D30AF3" w:rsidRPr="00D30AF3" w:rsidRDefault="00D30AF3" w:rsidP="00652173">
            <w:pPr>
              <w:rPr>
                <w:rFonts w:ascii="Times New Roman" w:hAnsi="Times New Roman" w:cs="Times New Roman"/>
              </w:rPr>
            </w:pPr>
            <w:r w:rsidRPr="00D30AF3">
              <w:rPr>
                <w:rFonts w:ascii="Times New Roman" w:hAnsi="Times New Roman" w:cs="Times New Roman"/>
                <w:sz w:val="17"/>
                <w:szCs w:val="17"/>
              </w:rPr>
              <w:t>Share vs. top ADC peers; competitor Phase III entrants/</w:t>
            </w:r>
            <w:proofErr w:type="spellStart"/>
            <w:r w:rsidRPr="00D30AF3">
              <w:rPr>
                <w:rFonts w:ascii="Times New Roman" w:hAnsi="Times New Roman" w:cs="Times New Roman"/>
                <w:sz w:val="17"/>
                <w:szCs w:val="17"/>
              </w:rPr>
              <w:t>yr</w:t>
            </w:r>
            <w:proofErr w:type="spellEnd"/>
          </w:p>
        </w:tc>
        <w:tc>
          <w:tcPr>
            <w:tcW w:w="1340" w:type="dxa"/>
            <w:tcMar>
              <w:top w:w="50" w:type="dxa"/>
              <w:left w:w="90" w:type="dxa"/>
              <w:bottom w:w="50" w:type="dxa"/>
              <w:right w:w="90" w:type="dxa"/>
            </w:tcMar>
            <w:vAlign w:val="center"/>
          </w:tcPr>
          <w:p w:rsidR="00D30AF3" w:rsidRPr="00D30AF3" w:rsidRDefault="00D30AF3" w:rsidP="00652173">
            <w:pPr>
              <w:rPr>
                <w:rFonts w:ascii="Times New Roman" w:hAnsi="Times New Roman" w:cs="Times New Roman"/>
              </w:rPr>
            </w:pPr>
            <w:r w:rsidRPr="00D30AF3">
              <w:rPr>
                <w:rFonts w:ascii="Times New Roman" w:hAnsi="Times New Roman" w:cs="Times New Roman"/>
                <w:sz w:val="17"/>
                <w:szCs w:val="17"/>
              </w:rPr>
              <w:t>Elevated</w:t>
            </w:r>
            <w:r w:rsidRPr="00D30AF3">
              <w:rPr>
                <w:rFonts w:ascii="Times New Roman" w:hAnsi="Times New Roman" w:cs="Times New Roman"/>
                <w:sz w:val="17"/>
                <w:szCs w:val="17"/>
              </w:rPr>
              <w:t xml:space="preserve"> </w:t>
            </w:r>
            <w:r w:rsidRPr="00D30AF3">
              <w:rPr>
                <w:rFonts w:ascii="Times New Roman" w:hAnsi="Times New Roman" w:cs="Times New Roman"/>
                <w:sz w:val="17"/>
                <w:szCs w:val="17"/>
              </w:rPr>
              <w:t>largest dollar exposure; bounded within amber/red bands</w:t>
            </w:r>
          </w:p>
        </w:tc>
        <w:tc>
          <w:tcPr>
            <w:tcW w:w="860" w:type="dxa"/>
            <w:tcMar>
              <w:top w:w="50" w:type="dxa"/>
              <w:left w:w="90" w:type="dxa"/>
              <w:bottom w:w="50" w:type="dxa"/>
              <w:right w:w="90" w:type="dxa"/>
            </w:tcMar>
            <w:vAlign w:val="center"/>
          </w:tcPr>
          <w:p w:rsidR="00D30AF3" w:rsidRPr="00D30AF3" w:rsidRDefault="00D30AF3" w:rsidP="00652173">
            <w:pPr>
              <w:jc w:val="center"/>
              <w:rPr>
                <w:rFonts w:ascii="Times New Roman" w:hAnsi="Times New Roman" w:cs="Times New Roman"/>
              </w:rPr>
            </w:pPr>
            <w:r w:rsidRPr="00D30AF3">
              <w:rPr>
                <w:rFonts w:ascii="Times New Roman" w:hAnsi="Times New Roman" w:cs="Times New Roman"/>
                <w:sz w:val="17"/>
                <w:szCs w:val="17"/>
              </w:rPr>
              <w:t>CSO / Oncology Commercial</w:t>
            </w:r>
          </w:p>
        </w:tc>
      </w:tr>
      <w:tr w:rsidR="00D30AF3" w:rsidRPr="00D30AF3" w:rsidTr="00652173">
        <w:tc>
          <w:tcPr>
            <w:tcW w:w="760" w:type="dxa"/>
            <w:tcMar>
              <w:top w:w="50" w:type="dxa"/>
              <w:left w:w="90" w:type="dxa"/>
              <w:bottom w:w="50" w:type="dxa"/>
              <w:right w:w="90" w:type="dxa"/>
            </w:tcMar>
            <w:vAlign w:val="center"/>
          </w:tcPr>
          <w:p w:rsidR="00D30AF3" w:rsidRPr="00D30AF3" w:rsidRDefault="00D30AF3" w:rsidP="00652173">
            <w:pPr>
              <w:rPr>
                <w:rFonts w:ascii="Times New Roman" w:hAnsi="Times New Roman" w:cs="Times New Roman"/>
              </w:rPr>
            </w:pPr>
            <w:r w:rsidRPr="00D30AF3">
              <w:rPr>
                <w:rFonts w:ascii="Times New Roman" w:hAnsi="Times New Roman" w:cs="Times New Roman"/>
                <w:b/>
                <w:bCs/>
                <w:sz w:val="17"/>
                <w:szCs w:val="17"/>
              </w:rPr>
              <w:t>R-002</w:t>
            </w:r>
          </w:p>
        </w:tc>
        <w:tc>
          <w:tcPr>
            <w:tcW w:w="1900" w:type="dxa"/>
            <w:tcMar>
              <w:top w:w="50" w:type="dxa"/>
              <w:left w:w="90" w:type="dxa"/>
              <w:bottom w:w="50" w:type="dxa"/>
              <w:right w:w="90" w:type="dxa"/>
            </w:tcMar>
            <w:vAlign w:val="center"/>
          </w:tcPr>
          <w:p w:rsidR="00D30AF3" w:rsidRPr="00D30AF3" w:rsidRDefault="00D30AF3" w:rsidP="00652173">
            <w:pPr>
              <w:rPr>
                <w:rFonts w:ascii="Times New Roman" w:hAnsi="Times New Roman" w:cs="Times New Roman"/>
              </w:rPr>
            </w:pPr>
            <w:r w:rsidRPr="00D30AF3">
              <w:rPr>
                <w:rFonts w:ascii="Times New Roman" w:hAnsi="Times New Roman" w:cs="Times New Roman"/>
                <w:sz w:val="17"/>
                <w:szCs w:val="17"/>
              </w:rPr>
              <w:t>Failure to achieve $10B 2030 revenue target</w:t>
            </w:r>
          </w:p>
        </w:tc>
        <w:tc>
          <w:tcPr>
            <w:tcW w:w="1000" w:type="dxa"/>
            <w:tcMar>
              <w:top w:w="50" w:type="dxa"/>
              <w:left w:w="90" w:type="dxa"/>
              <w:bottom w:w="50" w:type="dxa"/>
              <w:right w:w="90" w:type="dxa"/>
            </w:tcMar>
            <w:vAlign w:val="center"/>
          </w:tcPr>
          <w:p w:rsidR="00D30AF3" w:rsidRPr="00D30AF3" w:rsidRDefault="00D30AF3" w:rsidP="00652173">
            <w:pPr>
              <w:rPr>
                <w:rFonts w:ascii="Times New Roman" w:hAnsi="Times New Roman" w:cs="Times New Roman"/>
              </w:rPr>
            </w:pPr>
            <w:r w:rsidRPr="00D30AF3">
              <w:rPr>
                <w:rFonts w:ascii="Times New Roman" w:hAnsi="Times New Roman" w:cs="Times New Roman"/>
                <w:b/>
                <w:bCs/>
                <w:sz w:val="17"/>
                <w:szCs w:val="17"/>
              </w:rPr>
              <w:t>63 / High</w:t>
            </w:r>
          </w:p>
        </w:tc>
        <w:tc>
          <w:tcPr>
            <w:tcW w:w="2000" w:type="dxa"/>
            <w:tcMar>
              <w:top w:w="50" w:type="dxa"/>
              <w:left w:w="90" w:type="dxa"/>
              <w:bottom w:w="50" w:type="dxa"/>
              <w:right w:w="90" w:type="dxa"/>
            </w:tcMar>
            <w:vAlign w:val="center"/>
          </w:tcPr>
          <w:p w:rsidR="00D30AF3" w:rsidRPr="00D30AF3" w:rsidRDefault="00D30AF3" w:rsidP="00652173">
            <w:pPr>
              <w:rPr>
                <w:rFonts w:ascii="Times New Roman" w:hAnsi="Times New Roman" w:cs="Times New Roman"/>
              </w:rPr>
            </w:pPr>
            <w:r w:rsidRPr="00D30AF3">
              <w:rPr>
                <w:rFonts w:ascii="Times New Roman" w:hAnsi="Times New Roman" w:cs="Times New Roman"/>
                <w:sz w:val="17"/>
                <w:szCs w:val="17"/>
              </w:rPr>
              <w:t>Mitigate: accelerate ex-US launch, build IRA haircut into base model</w:t>
            </w:r>
          </w:p>
        </w:tc>
        <w:tc>
          <w:tcPr>
            <w:tcW w:w="1500" w:type="dxa"/>
            <w:tcMar>
              <w:top w:w="50" w:type="dxa"/>
              <w:left w:w="90" w:type="dxa"/>
              <w:bottom w:w="50" w:type="dxa"/>
              <w:right w:w="90" w:type="dxa"/>
            </w:tcMar>
            <w:vAlign w:val="center"/>
          </w:tcPr>
          <w:p w:rsidR="00D30AF3" w:rsidRPr="00D30AF3" w:rsidRDefault="00D30AF3" w:rsidP="00652173">
            <w:pPr>
              <w:rPr>
                <w:rFonts w:ascii="Times New Roman" w:hAnsi="Times New Roman" w:cs="Times New Roman"/>
              </w:rPr>
            </w:pPr>
            <w:r w:rsidRPr="00D30AF3">
              <w:rPr>
                <w:rFonts w:ascii="Times New Roman" w:hAnsi="Times New Roman" w:cs="Times New Roman"/>
                <w:sz w:val="17"/>
                <w:szCs w:val="17"/>
              </w:rPr>
              <w:t>Quarterly revenue vs. plan trajectory</w:t>
            </w:r>
          </w:p>
        </w:tc>
        <w:tc>
          <w:tcPr>
            <w:tcW w:w="1340" w:type="dxa"/>
            <w:tcMar>
              <w:top w:w="50" w:type="dxa"/>
              <w:left w:w="90" w:type="dxa"/>
              <w:bottom w:w="50" w:type="dxa"/>
              <w:right w:w="90" w:type="dxa"/>
            </w:tcMar>
            <w:vAlign w:val="center"/>
          </w:tcPr>
          <w:p w:rsidR="00D30AF3" w:rsidRPr="00D30AF3" w:rsidRDefault="00D30AF3" w:rsidP="00652173">
            <w:pPr>
              <w:rPr>
                <w:rFonts w:ascii="Times New Roman" w:hAnsi="Times New Roman" w:cs="Times New Roman"/>
              </w:rPr>
            </w:pPr>
            <w:r w:rsidRPr="00D30AF3">
              <w:rPr>
                <w:rFonts w:ascii="Times New Roman" w:hAnsi="Times New Roman" w:cs="Times New Roman"/>
                <w:sz w:val="17"/>
                <w:szCs w:val="17"/>
              </w:rPr>
              <w:t>Moderate  within Pfizer control but IRA-pressured</w:t>
            </w:r>
          </w:p>
        </w:tc>
        <w:tc>
          <w:tcPr>
            <w:tcW w:w="860" w:type="dxa"/>
            <w:tcMar>
              <w:top w:w="50" w:type="dxa"/>
              <w:left w:w="90" w:type="dxa"/>
              <w:bottom w:w="50" w:type="dxa"/>
              <w:right w:w="90" w:type="dxa"/>
            </w:tcMar>
            <w:vAlign w:val="center"/>
          </w:tcPr>
          <w:p w:rsidR="00D30AF3" w:rsidRPr="00D30AF3" w:rsidRDefault="00D30AF3" w:rsidP="00652173">
            <w:pPr>
              <w:jc w:val="center"/>
              <w:rPr>
                <w:rFonts w:ascii="Times New Roman" w:hAnsi="Times New Roman" w:cs="Times New Roman"/>
              </w:rPr>
            </w:pPr>
            <w:r w:rsidRPr="00D30AF3">
              <w:rPr>
                <w:rFonts w:ascii="Times New Roman" w:hAnsi="Times New Roman" w:cs="Times New Roman"/>
                <w:sz w:val="17"/>
                <w:szCs w:val="17"/>
              </w:rPr>
              <w:t>CFO / Chief Oncology Officer</w:t>
            </w:r>
          </w:p>
        </w:tc>
      </w:tr>
      <w:tr w:rsidR="00D30AF3" w:rsidRPr="00D30AF3" w:rsidTr="00652173">
        <w:tc>
          <w:tcPr>
            <w:tcW w:w="760" w:type="dxa"/>
            <w:tcMar>
              <w:top w:w="50" w:type="dxa"/>
              <w:left w:w="90" w:type="dxa"/>
              <w:bottom w:w="50" w:type="dxa"/>
              <w:right w:w="90" w:type="dxa"/>
            </w:tcMar>
            <w:vAlign w:val="center"/>
          </w:tcPr>
          <w:p w:rsidR="00D30AF3" w:rsidRPr="00D30AF3" w:rsidRDefault="00D30AF3" w:rsidP="00652173">
            <w:pPr>
              <w:rPr>
                <w:rFonts w:ascii="Times New Roman" w:hAnsi="Times New Roman" w:cs="Times New Roman"/>
              </w:rPr>
            </w:pPr>
            <w:r w:rsidRPr="00D30AF3">
              <w:rPr>
                <w:rFonts w:ascii="Times New Roman" w:hAnsi="Times New Roman" w:cs="Times New Roman"/>
                <w:b/>
                <w:bCs/>
                <w:sz w:val="17"/>
                <w:szCs w:val="17"/>
              </w:rPr>
              <w:t>R-001</w:t>
            </w:r>
          </w:p>
        </w:tc>
        <w:tc>
          <w:tcPr>
            <w:tcW w:w="1900" w:type="dxa"/>
            <w:tcMar>
              <w:top w:w="50" w:type="dxa"/>
              <w:left w:w="90" w:type="dxa"/>
              <w:bottom w:w="50" w:type="dxa"/>
              <w:right w:w="90" w:type="dxa"/>
            </w:tcMar>
            <w:vAlign w:val="center"/>
          </w:tcPr>
          <w:p w:rsidR="00D30AF3" w:rsidRPr="00D30AF3" w:rsidRDefault="00D30AF3" w:rsidP="00652173">
            <w:pPr>
              <w:rPr>
                <w:rFonts w:ascii="Times New Roman" w:hAnsi="Times New Roman" w:cs="Times New Roman"/>
              </w:rPr>
            </w:pPr>
            <w:r w:rsidRPr="00D30AF3">
              <w:rPr>
                <w:rFonts w:ascii="Times New Roman" w:hAnsi="Times New Roman" w:cs="Times New Roman"/>
                <w:sz w:val="17"/>
                <w:szCs w:val="17"/>
              </w:rPr>
              <w:t>Interest coverage ratio falling below safe levels</w:t>
            </w:r>
          </w:p>
        </w:tc>
        <w:tc>
          <w:tcPr>
            <w:tcW w:w="1000" w:type="dxa"/>
            <w:tcMar>
              <w:top w:w="50" w:type="dxa"/>
              <w:left w:w="90" w:type="dxa"/>
              <w:bottom w:w="50" w:type="dxa"/>
              <w:right w:w="90" w:type="dxa"/>
            </w:tcMar>
            <w:vAlign w:val="center"/>
          </w:tcPr>
          <w:p w:rsidR="00D30AF3" w:rsidRPr="00D30AF3" w:rsidRDefault="00D30AF3" w:rsidP="00652173">
            <w:pPr>
              <w:rPr>
                <w:rFonts w:ascii="Times New Roman" w:hAnsi="Times New Roman" w:cs="Times New Roman"/>
              </w:rPr>
            </w:pPr>
            <w:r w:rsidRPr="00D30AF3">
              <w:rPr>
                <w:rFonts w:ascii="Times New Roman" w:hAnsi="Times New Roman" w:cs="Times New Roman"/>
                <w:b/>
                <w:bCs/>
                <w:sz w:val="17"/>
                <w:szCs w:val="17"/>
              </w:rPr>
              <w:t>63 / High</w:t>
            </w:r>
          </w:p>
        </w:tc>
        <w:tc>
          <w:tcPr>
            <w:tcW w:w="2000" w:type="dxa"/>
            <w:tcMar>
              <w:top w:w="50" w:type="dxa"/>
              <w:left w:w="90" w:type="dxa"/>
              <w:bottom w:w="50" w:type="dxa"/>
              <w:right w:w="90" w:type="dxa"/>
            </w:tcMar>
            <w:vAlign w:val="center"/>
          </w:tcPr>
          <w:p w:rsidR="00D30AF3" w:rsidRPr="00D30AF3" w:rsidRDefault="00D30AF3" w:rsidP="00652173">
            <w:pPr>
              <w:rPr>
                <w:rFonts w:ascii="Times New Roman" w:hAnsi="Times New Roman" w:cs="Times New Roman"/>
              </w:rPr>
            </w:pPr>
            <w:r w:rsidRPr="00D30AF3">
              <w:rPr>
                <w:rFonts w:ascii="Times New Roman" w:hAnsi="Times New Roman" w:cs="Times New Roman"/>
                <w:sz w:val="17"/>
                <w:szCs w:val="17"/>
              </w:rPr>
              <w:t>Mitigate: pre-authorized CAPEX deferral, accelerated debt repayment</w:t>
            </w:r>
          </w:p>
        </w:tc>
        <w:tc>
          <w:tcPr>
            <w:tcW w:w="1500" w:type="dxa"/>
            <w:tcMar>
              <w:top w:w="50" w:type="dxa"/>
              <w:left w:w="90" w:type="dxa"/>
              <w:bottom w:w="50" w:type="dxa"/>
              <w:right w:w="90" w:type="dxa"/>
            </w:tcMar>
            <w:vAlign w:val="center"/>
          </w:tcPr>
          <w:p w:rsidR="00D30AF3" w:rsidRPr="00D30AF3" w:rsidRDefault="00D30AF3" w:rsidP="00652173">
            <w:pPr>
              <w:rPr>
                <w:rFonts w:ascii="Times New Roman" w:hAnsi="Times New Roman" w:cs="Times New Roman"/>
              </w:rPr>
            </w:pPr>
            <w:r w:rsidRPr="00D30AF3">
              <w:rPr>
                <w:rFonts w:ascii="Times New Roman" w:hAnsi="Times New Roman" w:cs="Times New Roman"/>
                <w:sz w:val="17"/>
                <w:szCs w:val="17"/>
              </w:rPr>
              <w:t>Monthly interest-coverage ratio (EBIT/interest)</w:t>
            </w:r>
          </w:p>
        </w:tc>
        <w:tc>
          <w:tcPr>
            <w:tcW w:w="1340" w:type="dxa"/>
            <w:tcMar>
              <w:top w:w="50" w:type="dxa"/>
              <w:left w:w="90" w:type="dxa"/>
              <w:bottom w:w="50" w:type="dxa"/>
              <w:right w:w="90" w:type="dxa"/>
            </w:tcMar>
            <w:vAlign w:val="center"/>
          </w:tcPr>
          <w:p w:rsidR="00D30AF3" w:rsidRPr="00D30AF3" w:rsidRDefault="00D30AF3" w:rsidP="00652173">
            <w:pPr>
              <w:rPr>
                <w:rFonts w:ascii="Times New Roman" w:hAnsi="Times New Roman" w:cs="Times New Roman"/>
              </w:rPr>
            </w:pPr>
            <w:r w:rsidRPr="00D30AF3">
              <w:rPr>
                <w:rFonts w:ascii="Times New Roman" w:hAnsi="Times New Roman" w:cs="Times New Roman"/>
                <w:sz w:val="17"/>
                <w:szCs w:val="17"/>
              </w:rPr>
              <w:t>Moderate stress scenario reaches 0.84×</w:t>
            </w:r>
          </w:p>
        </w:tc>
        <w:tc>
          <w:tcPr>
            <w:tcW w:w="860" w:type="dxa"/>
            <w:tcMar>
              <w:top w:w="50" w:type="dxa"/>
              <w:left w:w="90" w:type="dxa"/>
              <w:bottom w:w="50" w:type="dxa"/>
              <w:right w:w="90" w:type="dxa"/>
            </w:tcMar>
            <w:vAlign w:val="center"/>
          </w:tcPr>
          <w:p w:rsidR="00D30AF3" w:rsidRPr="00D30AF3" w:rsidRDefault="00D30AF3" w:rsidP="00652173">
            <w:pPr>
              <w:jc w:val="center"/>
              <w:rPr>
                <w:rFonts w:ascii="Times New Roman" w:hAnsi="Times New Roman" w:cs="Times New Roman"/>
              </w:rPr>
            </w:pPr>
            <w:r w:rsidRPr="00D30AF3">
              <w:rPr>
                <w:rFonts w:ascii="Times New Roman" w:hAnsi="Times New Roman" w:cs="Times New Roman"/>
                <w:sz w:val="17"/>
                <w:szCs w:val="17"/>
              </w:rPr>
              <w:t>CFO / Treasury</w:t>
            </w:r>
          </w:p>
        </w:tc>
      </w:tr>
      <w:tr w:rsidR="00D30AF3" w:rsidRPr="00D30AF3" w:rsidTr="00652173">
        <w:tc>
          <w:tcPr>
            <w:tcW w:w="760" w:type="dxa"/>
            <w:tcMar>
              <w:top w:w="50" w:type="dxa"/>
              <w:left w:w="90" w:type="dxa"/>
              <w:bottom w:w="50" w:type="dxa"/>
              <w:right w:w="90" w:type="dxa"/>
            </w:tcMar>
            <w:vAlign w:val="center"/>
          </w:tcPr>
          <w:p w:rsidR="00D30AF3" w:rsidRPr="00D30AF3" w:rsidRDefault="00D30AF3" w:rsidP="00652173">
            <w:pPr>
              <w:rPr>
                <w:rFonts w:ascii="Times New Roman" w:hAnsi="Times New Roman" w:cs="Times New Roman"/>
              </w:rPr>
            </w:pPr>
            <w:r w:rsidRPr="00D30AF3">
              <w:rPr>
                <w:rFonts w:ascii="Times New Roman" w:hAnsi="Times New Roman" w:cs="Times New Roman"/>
                <w:b/>
                <w:bCs/>
                <w:sz w:val="17"/>
                <w:szCs w:val="17"/>
              </w:rPr>
              <w:t>R-003</w:t>
            </w:r>
          </w:p>
        </w:tc>
        <w:tc>
          <w:tcPr>
            <w:tcW w:w="1900" w:type="dxa"/>
            <w:tcMar>
              <w:top w:w="50" w:type="dxa"/>
              <w:left w:w="90" w:type="dxa"/>
              <w:bottom w:w="50" w:type="dxa"/>
              <w:right w:w="90" w:type="dxa"/>
            </w:tcMar>
            <w:vAlign w:val="center"/>
          </w:tcPr>
          <w:p w:rsidR="00D30AF3" w:rsidRPr="00D30AF3" w:rsidRDefault="00D30AF3" w:rsidP="00652173">
            <w:pPr>
              <w:rPr>
                <w:rFonts w:ascii="Times New Roman" w:hAnsi="Times New Roman" w:cs="Times New Roman"/>
              </w:rPr>
            </w:pPr>
            <w:r w:rsidRPr="00D30AF3">
              <w:rPr>
                <w:rFonts w:ascii="Times New Roman" w:hAnsi="Times New Roman" w:cs="Times New Roman"/>
                <w:sz w:val="17"/>
                <w:szCs w:val="17"/>
              </w:rPr>
              <w:t>IRA Medicare price negotiation compressing ADC revenue</w:t>
            </w:r>
          </w:p>
        </w:tc>
        <w:tc>
          <w:tcPr>
            <w:tcW w:w="1000" w:type="dxa"/>
            <w:tcMar>
              <w:top w:w="50" w:type="dxa"/>
              <w:left w:w="90" w:type="dxa"/>
              <w:bottom w:w="50" w:type="dxa"/>
              <w:right w:w="90" w:type="dxa"/>
            </w:tcMar>
            <w:vAlign w:val="center"/>
          </w:tcPr>
          <w:p w:rsidR="00D30AF3" w:rsidRPr="00D30AF3" w:rsidRDefault="00D30AF3" w:rsidP="00652173">
            <w:pPr>
              <w:rPr>
                <w:rFonts w:ascii="Times New Roman" w:hAnsi="Times New Roman" w:cs="Times New Roman"/>
              </w:rPr>
            </w:pPr>
            <w:r w:rsidRPr="00D30AF3">
              <w:rPr>
                <w:rFonts w:ascii="Times New Roman" w:hAnsi="Times New Roman" w:cs="Times New Roman"/>
                <w:b/>
                <w:bCs/>
                <w:sz w:val="17"/>
                <w:szCs w:val="17"/>
              </w:rPr>
              <w:t>64 / High</w:t>
            </w:r>
          </w:p>
        </w:tc>
        <w:tc>
          <w:tcPr>
            <w:tcW w:w="2000" w:type="dxa"/>
            <w:tcMar>
              <w:top w:w="50" w:type="dxa"/>
              <w:left w:w="90" w:type="dxa"/>
              <w:bottom w:w="50" w:type="dxa"/>
              <w:right w:w="90" w:type="dxa"/>
            </w:tcMar>
            <w:vAlign w:val="center"/>
          </w:tcPr>
          <w:p w:rsidR="00D30AF3" w:rsidRPr="00D30AF3" w:rsidRDefault="00D30AF3" w:rsidP="00652173">
            <w:pPr>
              <w:rPr>
                <w:rFonts w:ascii="Times New Roman" w:hAnsi="Times New Roman" w:cs="Times New Roman"/>
              </w:rPr>
            </w:pPr>
            <w:r w:rsidRPr="00D30AF3">
              <w:rPr>
                <w:rFonts w:ascii="Times New Roman" w:hAnsi="Times New Roman" w:cs="Times New Roman"/>
                <w:sz w:val="17"/>
                <w:szCs w:val="17"/>
              </w:rPr>
              <w:t>Accept + manage timing: lifecycle management, PhRMA engagement</w:t>
            </w:r>
          </w:p>
        </w:tc>
        <w:tc>
          <w:tcPr>
            <w:tcW w:w="1500" w:type="dxa"/>
            <w:tcMar>
              <w:top w:w="50" w:type="dxa"/>
              <w:left w:w="90" w:type="dxa"/>
              <w:bottom w:w="50" w:type="dxa"/>
              <w:right w:w="90" w:type="dxa"/>
            </w:tcMar>
            <w:vAlign w:val="center"/>
          </w:tcPr>
          <w:p w:rsidR="00D30AF3" w:rsidRPr="00D30AF3" w:rsidRDefault="00D30AF3" w:rsidP="00652173">
            <w:pPr>
              <w:rPr>
                <w:rFonts w:ascii="Times New Roman" w:hAnsi="Times New Roman" w:cs="Times New Roman"/>
              </w:rPr>
            </w:pPr>
            <w:r w:rsidRPr="00D30AF3">
              <w:rPr>
                <w:rFonts w:ascii="Times New Roman" w:hAnsi="Times New Roman" w:cs="Times New Roman"/>
                <w:sz w:val="17"/>
                <w:szCs w:val="17"/>
              </w:rPr>
              <w:t>IRA selection announcements; exclusivity timeline</w:t>
            </w:r>
          </w:p>
        </w:tc>
        <w:tc>
          <w:tcPr>
            <w:tcW w:w="1340" w:type="dxa"/>
            <w:tcMar>
              <w:top w:w="50" w:type="dxa"/>
              <w:left w:w="90" w:type="dxa"/>
              <w:bottom w:w="50" w:type="dxa"/>
              <w:right w:w="90" w:type="dxa"/>
            </w:tcMar>
            <w:vAlign w:val="center"/>
          </w:tcPr>
          <w:p w:rsidR="00D30AF3" w:rsidRPr="00D30AF3" w:rsidRDefault="00D30AF3" w:rsidP="00652173">
            <w:pPr>
              <w:rPr>
                <w:rFonts w:ascii="Times New Roman" w:hAnsi="Times New Roman" w:cs="Times New Roman"/>
              </w:rPr>
            </w:pPr>
            <w:r w:rsidRPr="00D30AF3">
              <w:rPr>
                <w:rFonts w:ascii="Times New Roman" w:hAnsi="Times New Roman" w:cs="Times New Roman"/>
                <w:sz w:val="17"/>
                <w:szCs w:val="17"/>
              </w:rPr>
              <w:t>Retained $1–3B near-certain within statutory timeline</w:t>
            </w:r>
          </w:p>
        </w:tc>
        <w:tc>
          <w:tcPr>
            <w:tcW w:w="860" w:type="dxa"/>
            <w:tcMar>
              <w:top w:w="50" w:type="dxa"/>
              <w:left w:w="90" w:type="dxa"/>
              <w:bottom w:w="50" w:type="dxa"/>
              <w:right w:w="90" w:type="dxa"/>
            </w:tcMar>
            <w:vAlign w:val="center"/>
          </w:tcPr>
          <w:p w:rsidR="00D30AF3" w:rsidRPr="00D30AF3" w:rsidRDefault="00D30AF3" w:rsidP="00652173">
            <w:pPr>
              <w:jc w:val="center"/>
              <w:rPr>
                <w:rFonts w:ascii="Times New Roman" w:hAnsi="Times New Roman" w:cs="Times New Roman"/>
              </w:rPr>
            </w:pPr>
            <w:r w:rsidRPr="00D30AF3">
              <w:rPr>
                <w:rFonts w:ascii="Times New Roman" w:hAnsi="Times New Roman" w:cs="Times New Roman"/>
                <w:sz w:val="17"/>
                <w:szCs w:val="17"/>
              </w:rPr>
              <w:t>CFO / Govt. Affairs / Legal</w:t>
            </w:r>
          </w:p>
        </w:tc>
      </w:tr>
      <w:tr w:rsidR="00D30AF3" w:rsidRPr="00D30AF3" w:rsidTr="00652173">
        <w:tc>
          <w:tcPr>
            <w:tcW w:w="760" w:type="dxa"/>
            <w:tcMar>
              <w:top w:w="50" w:type="dxa"/>
              <w:left w:w="90" w:type="dxa"/>
              <w:bottom w:w="50" w:type="dxa"/>
              <w:right w:w="90" w:type="dxa"/>
            </w:tcMar>
            <w:vAlign w:val="center"/>
          </w:tcPr>
          <w:p w:rsidR="00D30AF3" w:rsidRPr="00D30AF3" w:rsidRDefault="00D30AF3" w:rsidP="00652173">
            <w:pPr>
              <w:rPr>
                <w:rFonts w:ascii="Times New Roman" w:hAnsi="Times New Roman" w:cs="Times New Roman"/>
              </w:rPr>
            </w:pPr>
            <w:r w:rsidRPr="00D30AF3">
              <w:rPr>
                <w:rFonts w:ascii="Times New Roman" w:hAnsi="Times New Roman" w:cs="Times New Roman"/>
                <w:b/>
                <w:bCs/>
                <w:sz w:val="17"/>
                <w:szCs w:val="17"/>
              </w:rPr>
              <w:t>R-010</w:t>
            </w:r>
          </w:p>
        </w:tc>
        <w:tc>
          <w:tcPr>
            <w:tcW w:w="1900" w:type="dxa"/>
            <w:tcMar>
              <w:top w:w="50" w:type="dxa"/>
              <w:left w:w="90" w:type="dxa"/>
              <w:bottom w:w="50" w:type="dxa"/>
              <w:right w:w="90" w:type="dxa"/>
            </w:tcMar>
            <w:vAlign w:val="center"/>
          </w:tcPr>
          <w:p w:rsidR="00D30AF3" w:rsidRPr="00D30AF3" w:rsidRDefault="00D30AF3" w:rsidP="00652173">
            <w:pPr>
              <w:rPr>
                <w:rFonts w:ascii="Times New Roman" w:hAnsi="Times New Roman" w:cs="Times New Roman"/>
              </w:rPr>
            </w:pPr>
            <w:r w:rsidRPr="00D30AF3">
              <w:rPr>
                <w:rFonts w:ascii="Times New Roman" w:hAnsi="Times New Roman" w:cs="Times New Roman"/>
                <w:sz w:val="17"/>
                <w:szCs w:val="17"/>
              </w:rPr>
              <w:t>ADC combination therapy first-mover opportunity</w:t>
            </w:r>
          </w:p>
        </w:tc>
        <w:tc>
          <w:tcPr>
            <w:tcW w:w="1000" w:type="dxa"/>
            <w:tcMar>
              <w:top w:w="50" w:type="dxa"/>
              <w:left w:w="90" w:type="dxa"/>
              <w:bottom w:w="50" w:type="dxa"/>
              <w:right w:w="90" w:type="dxa"/>
            </w:tcMar>
            <w:vAlign w:val="center"/>
          </w:tcPr>
          <w:p w:rsidR="00D30AF3" w:rsidRPr="00D30AF3" w:rsidRDefault="00D30AF3" w:rsidP="00652173">
            <w:pPr>
              <w:rPr>
                <w:rFonts w:ascii="Times New Roman" w:hAnsi="Times New Roman" w:cs="Times New Roman"/>
              </w:rPr>
            </w:pPr>
            <w:r w:rsidRPr="00D30AF3">
              <w:rPr>
                <w:rFonts w:ascii="Times New Roman" w:hAnsi="Times New Roman" w:cs="Times New Roman"/>
                <w:b/>
                <w:bCs/>
                <w:sz w:val="17"/>
                <w:szCs w:val="17"/>
              </w:rPr>
              <w:t>56 / High (Opp.)</w:t>
            </w:r>
          </w:p>
        </w:tc>
        <w:tc>
          <w:tcPr>
            <w:tcW w:w="2000" w:type="dxa"/>
            <w:tcMar>
              <w:top w:w="50" w:type="dxa"/>
              <w:left w:w="90" w:type="dxa"/>
              <w:bottom w:w="50" w:type="dxa"/>
              <w:right w:w="90" w:type="dxa"/>
            </w:tcMar>
            <w:vAlign w:val="center"/>
          </w:tcPr>
          <w:p w:rsidR="00D30AF3" w:rsidRPr="00D30AF3" w:rsidRDefault="00D30AF3" w:rsidP="00652173">
            <w:pPr>
              <w:rPr>
                <w:rFonts w:ascii="Times New Roman" w:hAnsi="Times New Roman" w:cs="Times New Roman"/>
              </w:rPr>
            </w:pPr>
            <w:r w:rsidRPr="00D30AF3">
              <w:rPr>
                <w:rFonts w:ascii="Times New Roman" w:hAnsi="Times New Roman" w:cs="Times New Roman"/>
                <w:sz w:val="17"/>
                <w:szCs w:val="17"/>
              </w:rPr>
              <w:t>Exploit/enhance: accelerate combination launches, lock partnerships</w:t>
            </w:r>
          </w:p>
        </w:tc>
        <w:tc>
          <w:tcPr>
            <w:tcW w:w="1500" w:type="dxa"/>
            <w:tcMar>
              <w:top w:w="50" w:type="dxa"/>
              <w:left w:w="90" w:type="dxa"/>
              <w:bottom w:w="50" w:type="dxa"/>
              <w:right w:w="90" w:type="dxa"/>
            </w:tcMar>
            <w:vAlign w:val="center"/>
          </w:tcPr>
          <w:p w:rsidR="00D30AF3" w:rsidRPr="00D30AF3" w:rsidRDefault="00D30AF3" w:rsidP="00652173">
            <w:pPr>
              <w:rPr>
                <w:rFonts w:ascii="Times New Roman" w:hAnsi="Times New Roman" w:cs="Times New Roman"/>
              </w:rPr>
            </w:pPr>
            <w:r w:rsidRPr="00D30AF3">
              <w:rPr>
                <w:rFonts w:ascii="Times New Roman" w:hAnsi="Times New Roman" w:cs="Times New Roman"/>
                <w:sz w:val="17"/>
                <w:szCs w:val="17"/>
              </w:rPr>
              <w:t>New combination programs/</w:t>
            </w:r>
            <w:proofErr w:type="spellStart"/>
            <w:r w:rsidRPr="00D30AF3">
              <w:rPr>
                <w:rFonts w:ascii="Times New Roman" w:hAnsi="Times New Roman" w:cs="Times New Roman"/>
                <w:sz w:val="17"/>
                <w:szCs w:val="17"/>
              </w:rPr>
              <w:t>qtr</w:t>
            </w:r>
            <w:proofErr w:type="spellEnd"/>
            <w:r w:rsidRPr="00D30AF3">
              <w:rPr>
                <w:rFonts w:ascii="Times New Roman" w:hAnsi="Times New Roman" w:cs="Times New Roman"/>
                <w:sz w:val="17"/>
                <w:szCs w:val="17"/>
              </w:rPr>
              <w:t>; partnerships signed</w:t>
            </w:r>
          </w:p>
        </w:tc>
        <w:tc>
          <w:tcPr>
            <w:tcW w:w="1340" w:type="dxa"/>
            <w:tcMar>
              <w:top w:w="50" w:type="dxa"/>
              <w:left w:w="90" w:type="dxa"/>
              <w:bottom w:w="50" w:type="dxa"/>
              <w:right w:w="90" w:type="dxa"/>
            </w:tcMar>
            <w:vAlign w:val="center"/>
          </w:tcPr>
          <w:p w:rsidR="00D30AF3" w:rsidRPr="00D30AF3" w:rsidRDefault="00D30AF3" w:rsidP="00652173">
            <w:pPr>
              <w:rPr>
                <w:rFonts w:ascii="Times New Roman" w:hAnsi="Times New Roman" w:cs="Times New Roman"/>
              </w:rPr>
            </w:pPr>
            <w:r w:rsidRPr="00D30AF3">
              <w:rPr>
                <w:rFonts w:ascii="Times New Roman" w:hAnsi="Times New Roman" w:cs="Times New Roman"/>
                <w:sz w:val="17"/>
                <w:szCs w:val="17"/>
              </w:rPr>
              <w:t>Upside at risk +$0.83B contingent on execution speed</w:t>
            </w:r>
          </w:p>
        </w:tc>
        <w:tc>
          <w:tcPr>
            <w:tcW w:w="860" w:type="dxa"/>
            <w:tcMar>
              <w:top w:w="50" w:type="dxa"/>
              <w:left w:w="90" w:type="dxa"/>
              <w:bottom w:w="50" w:type="dxa"/>
              <w:right w:w="90" w:type="dxa"/>
            </w:tcMar>
            <w:vAlign w:val="center"/>
          </w:tcPr>
          <w:p w:rsidR="00D30AF3" w:rsidRPr="00D30AF3" w:rsidRDefault="00D30AF3" w:rsidP="00652173">
            <w:pPr>
              <w:jc w:val="center"/>
              <w:rPr>
                <w:rFonts w:ascii="Times New Roman" w:hAnsi="Times New Roman" w:cs="Times New Roman"/>
              </w:rPr>
            </w:pPr>
            <w:r w:rsidRPr="00D30AF3">
              <w:rPr>
                <w:rFonts w:ascii="Times New Roman" w:hAnsi="Times New Roman" w:cs="Times New Roman"/>
                <w:sz w:val="17"/>
                <w:szCs w:val="17"/>
              </w:rPr>
              <w:t>CSO / Oncology Commercial</w:t>
            </w:r>
          </w:p>
        </w:tc>
      </w:tr>
      <w:tr w:rsidR="00D30AF3" w:rsidRPr="00D30AF3" w:rsidTr="00652173">
        <w:tc>
          <w:tcPr>
            <w:tcW w:w="760" w:type="dxa"/>
            <w:tcMar>
              <w:top w:w="50" w:type="dxa"/>
              <w:left w:w="90" w:type="dxa"/>
              <w:bottom w:w="50" w:type="dxa"/>
              <w:right w:w="90" w:type="dxa"/>
            </w:tcMar>
            <w:vAlign w:val="center"/>
          </w:tcPr>
          <w:p w:rsidR="00D30AF3" w:rsidRPr="00D30AF3" w:rsidRDefault="00D30AF3" w:rsidP="00652173">
            <w:pPr>
              <w:rPr>
                <w:rFonts w:ascii="Times New Roman" w:hAnsi="Times New Roman" w:cs="Times New Roman"/>
              </w:rPr>
            </w:pPr>
            <w:r w:rsidRPr="00D30AF3">
              <w:rPr>
                <w:rFonts w:ascii="Times New Roman" w:hAnsi="Times New Roman" w:cs="Times New Roman"/>
                <w:b/>
                <w:bCs/>
                <w:sz w:val="17"/>
                <w:szCs w:val="17"/>
              </w:rPr>
              <w:t>R-017</w:t>
            </w:r>
          </w:p>
        </w:tc>
        <w:tc>
          <w:tcPr>
            <w:tcW w:w="1900" w:type="dxa"/>
            <w:tcMar>
              <w:top w:w="50" w:type="dxa"/>
              <w:left w:w="90" w:type="dxa"/>
              <w:bottom w:w="50" w:type="dxa"/>
              <w:right w:w="90" w:type="dxa"/>
            </w:tcMar>
            <w:vAlign w:val="center"/>
          </w:tcPr>
          <w:p w:rsidR="00D30AF3" w:rsidRPr="00D30AF3" w:rsidRDefault="00D30AF3" w:rsidP="00652173">
            <w:pPr>
              <w:rPr>
                <w:rFonts w:ascii="Times New Roman" w:hAnsi="Times New Roman" w:cs="Times New Roman"/>
              </w:rPr>
            </w:pPr>
            <w:r w:rsidRPr="00D30AF3">
              <w:rPr>
                <w:rFonts w:ascii="Times New Roman" w:hAnsi="Times New Roman" w:cs="Times New Roman"/>
                <w:sz w:val="17"/>
                <w:szCs w:val="17"/>
              </w:rPr>
              <w:t>Cybersecurity breach during system integration</w:t>
            </w:r>
          </w:p>
        </w:tc>
        <w:tc>
          <w:tcPr>
            <w:tcW w:w="1000" w:type="dxa"/>
            <w:tcMar>
              <w:top w:w="50" w:type="dxa"/>
              <w:left w:w="90" w:type="dxa"/>
              <w:bottom w:w="50" w:type="dxa"/>
              <w:right w:w="90" w:type="dxa"/>
            </w:tcMar>
            <w:vAlign w:val="center"/>
          </w:tcPr>
          <w:p w:rsidR="00D30AF3" w:rsidRPr="00D30AF3" w:rsidRDefault="00D30AF3" w:rsidP="00652173">
            <w:pPr>
              <w:rPr>
                <w:rFonts w:ascii="Times New Roman" w:hAnsi="Times New Roman" w:cs="Times New Roman"/>
              </w:rPr>
            </w:pPr>
            <w:r w:rsidRPr="00D30AF3">
              <w:rPr>
                <w:rFonts w:ascii="Times New Roman" w:hAnsi="Times New Roman" w:cs="Times New Roman"/>
                <w:b/>
                <w:bCs/>
                <w:sz w:val="17"/>
                <w:szCs w:val="17"/>
              </w:rPr>
              <w:t>54 / High</w:t>
            </w:r>
          </w:p>
        </w:tc>
        <w:tc>
          <w:tcPr>
            <w:tcW w:w="2000" w:type="dxa"/>
            <w:tcMar>
              <w:top w:w="50" w:type="dxa"/>
              <w:left w:w="90" w:type="dxa"/>
              <w:bottom w:w="50" w:type="dxa"/>
              <w:right w:w="90" w:type="dxa"/>
            </w:tcMar>
            <w:vAlign w:val="center"/>
          </w:tcPr>
          <w:p w:rsidR="00D30AF3" w:rsidRPr="00D30AF3" w:rsidRDefault="00D30AF3" w:rsidP="00652173">
            <w:pPr>
              <w:rPr>
                <w:rFonts w:ascii="Times New Roman" w:hAnsi="Times New Roman" w:cs="Times New Roman"/>
              </w:rPr>
            </w:pPr>
            <w:r w:rsidRPr="00D30AF3">
              <w:rPr>
                <w:rFonts w:ascii="Times New Roman" w:hAnsi="Times New Roman" w:cs="Times New Roman"/>
                <w:sz w:val="17"/>
                <w:szCs w:val="17"/>
              </w:rPr>
              <w:t>Mitigate: zero-trust segmentation, same-day SOC ingestion, MFA, vendor diligence</w:t>
            </w:r>
          </w:p>
        </w:tc>
        <w:tc>
          <w:tcPr>
            <w:tcW w:w="1500" w:type="dxa"/>
            <w:tcMar>
              <w:top w:w="50" w:type="dxa"/>
              <w:left w:w="90" w:type="dxa"/>
              <w:bottom w:w="50" w:type="dxa"/>
              <w:right w:w="90" w:type="dxa"/>
            </w:tcMar>
            <w:vAlign w:val="center"/>
          </w:tcPr>
          <w:p w:rsidR="00D30AF3" w:rsidRPr="00D30AF3" w:rsidRDefault="00D30AF3" w:rsidP="00652173">
            <w:pPr>
              <w:rPr>
                <w:rFonts w:ascii="Times New Roman" w:hAnsi="Times New Roman" w:cs="Times New Roman"/>
              </w:rPr>
            </w:pPr>
            <w:r w:rsidRPr="00D30AF3">
              <w:rPr>
                <w:rFonts w:ascii="Times New Roman" w:hAnsi="Times New Roman" w:cs="Times New Roman"/>
                <w:sz w:val="17"/>
                <w:szCs w:val="17"/>
              </w:rPr>
              <w:t>MTTD/MTTR; unpatched critical CVEs; ePHI anomalies</w:t>
            </w:r>
          </w:p>
        </w:tc>
        <w:tc>
          <w:tcPr>
            <w:tcW w:w="1340" w:type="dxa"/>
            <w:tcMar>
              <w:top w:w="50" w:type="dxa"/>
              <w:left w:w="90" w:type="dxa"/>
              <w:bottom w:w="50" w:type="dxa"/>
              <w:right w:w="90" w:type="dxa"/>
            </w:tcMar>
            <w:vAlign w:val="center"/>
          </w:tcPr>
          <w:p w:rsidR="00D30AF3" w:rsidRPr="00D30AF3" w:rsidRDefault="00D30AF3" w:rsidP="00652173">
            <w:pPr>
              <w:rPr>
                <w:rFonts w:ascii="Times New Roman" w:hAnsi="Times New Roman" w:cs="Times New Roman"/>
              </w:rPr>
            </w:pPr>
            <w:r w:rsidRPr="00D30AF3">
              <w:rPr>
                <w:rFonts w:ascii="Times New Roman" w:hAnsi="Times New Roman" w:cs="Times New Roman"/>
                <w:sz w:val="17"/>
                <w:szCs w:val="17"/>
              </w:rPr>
              <w:t>Moderate likelihood reduced; severe-</w:t>
            </w:r>
            <w:r w:rsidRPr="00D30AF3">
              <w:rPr>
                <w:rFonts w:ascii="Times New Roman" w:hAnsi="Times New Roman" w:cs="Times New Roman"/>
                <w:sz w:val="17"/>
                <w:szCs w:val="17"/>
              </w:rPr>
              <w:lastRenderedPageBreak/>
              <w:t>impact tail remains</w:t>
            </w:r>
          </w:p>
        </w:tc>
        <w:tc>
          <w:tcPr>
            <w:tcW w:w="860" w:type="dxa"/>
            <w:tcMar>
              <w:top w:w="50" w:type="dxa"/>
              <w:left w:w="90" w:type="dxa"/>
              <w:bottom w:w="50" w:type="dxa"/>
              <w:right w:w="90" w:type="dxa"/>
            </w:tcMar>
            <w:vAlign w:val="center"/>
          </w:tcPr>
          <w:p w:rsidR="00D30AF3" w:rsidRPr="00D30AF3" w:rsidRDefault="00D30AF3" w:rsidP="00652173">
            <w:pPr>
              <w:jc w:val="center"/>
              <w:rPr>
                <w:rFonts w:ascii="Times New Roman" w:hAnsi="Times New Roman" w:cs="Times New Roman"/>
              </w:rPr>
            </w:pPr>
            <w:r w:rsidRPr="00D30AF3">
              <w:rPr>
                <w:rFonts w:ascii="Times New Roman" w:hAnsi="Times New Roman" w:cs="Times New Roman"/>
                <w:sz w:val="17"/>
                <w:szCs w:val="17"/>
              </w:rPr>
              <w:lastRenderedPageBreak/>
              <w:t>CISO / IMO</w:t>
            </w:r>
          </w:p>
        </w:tc>
      </w:tr>
    </w:tbl>
    <w:p w:rsidR="00D30AF3" w:rsidRPr="00D30AF3" w:rsidRDefault="00D30AF3" w:rsidP="00D30AF3">
      <w:pPr>
        <w:spacing w:before="60" w:after="200"/>
        <w:jc w:val="center"/>
        <w:rPr>
          <w:rFonts w:ascii="Times New Roman" w:hAnsi="Times New Roman" w:cs="Times New Roman"/>
        </w:rPr>
      </w:pPr>
      <w:r w:rsidRPr="00D30AF3">
        <w:rPr>
          <w:rFonts w:ascii="Times New Roman" w:hAnsi="Times New Roman" w:cs="Times New Roman"/>
          <w:i/>
          <w:iCs/>
          <w:sz w:val="18"/>
          <w:szCs w:val="18"/>
        </w:rPr>
        <w:t>Table 5. Complete Risk Treatment and Response Plan for the highest-priority risks, with residual-risk position after treatment.</w:t>
      </w:r>
    </w:p>
    <w:p w:rsidR="00D30AF3" w:rsidRPr="00D30AF3" w:rsidRDefault="00D30AF3" w:rsidP="00D30AF3">
      <w:pPr>
        <w:rPr>
          <w:rFonts w:ascii="Times New Roman" w:hAnsi="Times New Roman" w:cs="Times New Roman"/>
        </w:rPr>
      </w:pPr>
      <w:r w:rsidRPr="00D30AF3">
        <w:rPr>
          <w:rFonts w:ascii="Times New Roman" w:hAnsi="Times New Roman" w:cs="Times New Roman"/>
        </w:rPr>
        <w:br w:type="page"/>
      </w:r>
    </w:p>
    <w:p w:rsidR="00D30AF3" w:rsidRPr="00D30AF3" w:rsidRDefault="00D30AF3" w:rsidP="00D30AF3">
      <w:pPr>
        <w:pStyle w:val="Heading1"/>
        <w:rPr>
          <w:rFonts w:ascii="Times New Roman" w:hAnsi="Times New Roman" w:cs="Times New Roman"/>
        </w:rPr>
      </w:pPr>
      <w:r w:rsidRPr="00D30AF3">
        <w:rPr>
          <w:rFonts w:ascii="Times New Roman" w:hAnsi="Times New Roman" w:cs="Times New Roman"/>
        </w:rPr>
        <w:lastRenderedPageBreak/>
        <w:t>References</w:t>
      </w:r>
    </w:p>
    <w:p w:rsidR="00D30AF3" w:rsidRPr="00D30AF3" w:rsidRDefault="00D30AF3" w:rsidP="00D30AF3">
      <w:pPr>
        <w:spacing w:after="100" w:line="252" w:lineRule="auto"/>
        <w:ind w:left="720" w:hanging="720"/>
        <w:rPr>
          <w:rFonts w:ascii="Times New Roman" w:hAnsi="Times New Roman" w:cs="Times New Roman"/>
        </w:rPr>
      </w:pPr>
      <w:r w:rsidRPr="00D30AF3">
        <w:rPr>
          <w:rFonts w:ascii="Times New Roman" w:hAnsi="Times New Roman" w:cs="Times New Roman"/>
        </w:rPr>
        <w:t>Committee of Sponsoring Organizations of the Treadway Commission. (2010). Developing key risk indicators to strengthen enterprise risk management.</w:t>
      </w:r>
    </w:p>
    <w:p w:rsidR="00D30AF3" w:rsidRPr="00D30AF3" w:rsidRDefault="00D30AF3" w:rsidP="00D30AF3">
      <w:pPr>
        <w:spacing w:after="100" w:line="252" w:lineRule="auto"/>
        <w:ind w:left="720" w:hanging="720"/>
        <w:rPr>
          <w:rFonts w:ascii="Times New Roman" w:hAnsi="Times New Roman" w:cs="Times New Roman"/>
        </w:rPr>
      </w:pPr>
      <w:r w:rsidRPr="00D30AF3">
        <w:rPr>
          <w:rFonts w:ascii="Times New Roman" w:hAnsi="Times New Roman" w:cs="Times New Roman"/>
        </w:rPr>
        <w:t>Committee of Sponsoring Organizations of the Treadway Commission. (2017). Enterprise risk management: Integrating with strategy and performance. AICPA.</w:t>
      </w:r>
    </w:p>
    <w:p w:rsidR="00D30AF3" w:rsidRPr="00D30AF3" w:rsidRDefault="00D30AF3" w:rsidP="00D30AF3">
      <w:pPr>
        <w:spacing w:after="100" w:line="252" w:lineRule="auto"/>
        <w:ind w:left="720" w:hanging="720"/>
        <w:rPr>
          <w:rFonts w:ascii="Times New Roman" w:hAnsi="Times New Roman" w:cs="Times New Roman"/>
        </w:rPr>
      </w:pPr>
      <w:r w:rsidRPr="00D30AF3">
        <w:rPr>
          <w:rFonts w:ascii="Times New Roman" w:hAnsi="Times New Roman" w:cs="Times New Roman"/>
        </w:rPr>
        <w:t>Grand View Research. (2025). Antibody drug conjugates market size, share &amp; trends analysis report. https://www.grandviewresearch.com/industry-analysis/antibody-drug-conjugates-market</w:t>
      </w:r>
    </w:p>
    <w:p w:rsidR="00D30AF3" w:rsidRPr="00D30AF3" w:rsidRDefault="00D30AF3" w:rsidP="00D30AF3">
      <w:pPr>
        <w:spacing w:after="100" w:line="252" w:lineRule="auto"/>
        <w:ind w:left="720" w:hanging="720"/>
        <w:rPr>
          <w:rFonts w:ascii="Times New Roman" w:hAnsi="Times New Roman" w:cs="Times New Roman"/>
        </w:rPr>
      </w:pPr>
      <w:proofErr w:type="spellStart"/>
      <w:r w:rsidRPr="00D30AF3">
        <w:rPr>
          <w:rFonts w:ascii="Times New Roman" w:hAnsi="Times New Roman" w:cs="Times New Roman"/>
        </w:rPr>
        <w:t>Mentorloop</w:t>
      </w:r>
      <w:proofErr w:type="spellEnd"/>
      <w:r w:rsidRPr="00D30AF3">
        <w:rPr>
          <w:rFonts w:ascii="Times New Roman" w:hAnsi="Times New Roman" w:cs="Times New Roman"/>
        </w:rPr>
        <w:t>. (2024, November 14). Losing talent: The quiet killer of mergers and acquisitions. https://mentorloop.com/blog/losing-talent-mergers-acquisitions/</w:t>
      </w:r>
    </w:p>
    <w:p w:rsidR="00D30AF3" w:rsidRPr="00D30AF3" w:rsidRDefault="00D30AF3" w:rsidP="00D30AF3">
      <w:pPr>
        <w:spacing w:after="100" w:line="252" w:lineRule="auto"/>
        <w:ind w:left="720" w:hanging="720"/>
        <w:rPr>
          <w:rFonts w:ascii="Times New Roman" w:hAnsi="Times New Roman" w:cs="Times New Roman"/>
        </w:rPr>
      </w:pPr>
      <w:proofErr w:type="spellStart"/>
      <w:r w:rsidRPr="00D30AF3">
        <w:rPr>
          <w:rFonts w:ascii="Times New Roman" w:hAnsi="Times New Roman" w:cs="Times New Roman"/>
        </w:rPr>
        <w:t>Mnacommunity</w:t>
      </w:r>
      <w:proofErr w:type="spellEnd"/>
      <w:r w:rsidRPr="00D30AF3">
        <w:rPr>
          <w:rFonts w:ascii="Times New Roman" w:hAnsi="Times New Roman" w:cs="Times New Roman"/>
        </w:rPr>
        <w:t>. (2025, May 29). Employee retention after acquisition: 6 strategies for success. https://mnacommunity.com/insights/employee-retention-after-acquisition/</w:t>
      </w:r>
    </w:p>
    <w:p w:rsidR="00D30AF3" w:rsidRPr="00D30AF3" w:rsidRDefault="00D30AF3" w:rsidP="00D30AF3">
      <w:pPr>
        <w:spacing w:after="100" w:line="252" w:lineRule="auto"/>
        <w:ind w:left="720" w:hanging="720"/>
        <w:rPr>
          <w:rFonts w:ascii="Times New Roman" w:hAnsi="Times New Roman" w:cs="Times New Roman"/>
        </w:rPr>
      </w:pPr>
      <w:r w:rsidRPr="00D30AF3">
        <w:rPr>
          <w:rFonts w:ascii="Times New Roman" w:hAnsi="Times New Roman" w:cs="Times New Roman"/>
        </w:rPr>
        <w:t>Mordor Intelligence. (2026). Antibody-drug conjugates market size and share analysis — growth trends &amp; forecasts (2026–2031). https://www.mordorintelligence.com/industry-reports/antibody-drug-conjugates-market</w:t>
      </w:r>
    </w:p>
    <w:p w:rsidR="00D30AF3" w:rsidRPr="00D30AF3" w:rsidRDefault="00D30AF3" w:rsidP="00D30AF3">
      <w:pPr>
        <w:spacing w:after="100" w:line="252" w:lineRule="auto"/>
        <w:ind w:left="720" w:hanging="720"/>
        <w:rPr>
          <w:rFonts w:ascii="Times New Roman" w:hAnsi="Times New Roman" w:cs="Times New Roman"/>
        </w:rPr>
      </w:pPr>
      <w:r w:rsidRPr="00D30AF3">
        <w:rPr>
          <w:rFonts w:ascii="Times New Roman" w:hAnsi="Times New Roman" w:cs="Times New Roman"/>
        </w:rPr>
        <w:t>RMI. (2025, November 25). 4 steps to emerge from an M&amp;A with a stronger talent pool. https://rmi.com.sg/blog/4-steps-to-emerge-from-mergers-and-acquisitions/</w:t>
      </w:r>
    </w:p>
    <w:p w:rsidR="00D30AF3" w:rsidRPr="00D30AF3" w:rsidRDefault="00D30AF3" w:rsidP="00D30AF3">
      <w:pPr>
        <w:spacing w:after="100" w:line="252" w:lineRule="auto"/>
        <w:ind w:left="720" w:hanging="720"/>
        <w:rPr>
          <w:rFonts w:ascii="Times New Roman" w:hAnsi="Times New Roman" w:cs="Times New Roman"/>
        </w:rPr>
      </w:pPr>
      <w:proofErr w:type="spellStart"/>
      <w:r w:rsidRPr="00D30AF3">
        <w:rPr>
          <w:rFonts w:ascii="Times New Roman" w:hAnsi="Times New Roman" w:cs="Times New Roman"/>
        </w:rPr>
        <w:t>Retensa</w:t>
      </w:r>
      <w:proofErr w:type="spellEnd"/>
      <w:r w:rsidRPr="00D30AF3">
        <w:rPr>
          <w:rFonts w:ascii="Times New Roman" w:hAnsi="Times New Roman" w:cs="Times New Roman"/>
        </w:rPr>
        <w:t>. (2025). Biotech and pharma retention strategies for talent. https://retensa.com/pharmaceutical-biotech-employee-retention/</w:t>
      </w:r>
    </w:p>
    <w:p w:rsidR="00D30AF3" w:rsidRPr="00D30AF3" w:rsidRDefault="00D30AF3" w:rsidP="00D30AF3">
      <w:pPr>
        <w:spacing w:after="100" w:line="252" w:lineRule="auto"/>
        <w:ind w:left="720" w:hanging="720"/>
        <w:rPr>
          <w:rFonts w:ascii="Times New Roman" w:hAnsi="Times New Roman" w:cs="Times New Roman"/>
        </w:rPr>
      </w:pPr>
      <w:r w:rsidRPr="00D30AF3">
        <w:rPr>
          <w:rFonts w:ascii="Times New Roman" w:hAnsi="Times New Roman" w:cs="Times New Roman"/>
        </w:rPr>
        <w:t>Towards Healthcare. (2025). Antibody drug conjugate market sizing. https://www.towardshealthcare.com/insights/antibody-drug-conjugate-market-sizing</w:t>
      </w:r>
    </w:p>
    <w:p w:rsidR="00C07A71" w:rsidRPr="00D30AF3" w:rsidRDefault="00C07A71">
      <w:pPr>
        <w:rPr>
          <w:rFonts w:ascii="Times New Roman" w:hAnsi="Times New Roman" w:cs="Times New Roman"/>
        </w:rPr>
      </w:pPr>
    </w:p>
    <w:sectPr w:rsidR="00C07A71" w:rsidRPr="00D30AF3">
      <w:footerReference w:type="default" r:id="rId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altName w:val="Times New Roman PSMT"/>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000000">
    <w:pPr>
      <w:jc w:val="center"/>
    </w:pPr>
    <w:r>
      <w:rPr>
        <w:color w:val="888888"/>
        <w:sz w:val="16"/>
        <w:szCs w:val="16"/>
      </w:rPr>
      <w:t xml:space="preserve">Stella </w:t>
    </w:r>
    <w:proofErr w:type="spellStart"/>
    <w:r>
      <w:rPr>
        <w:color w:val="888888"/>
        <w:sz w:val="16"/>
        <w:szCs w:val="16"/>
      </w:rPr>
      <w:t>Kafui</w:t>
    </w:r>
    <w:proofErr w:type="spellEnd"/>
    <w:r>
      <w:rPr>
        <w:color w:val="888888"/>
        <w:sz w:val="16"/>
        <w:szCs w:val="16"/>
      </w:rPr>
      <w:t xml:space="preserve"> </w:t>
    </w:r>
    <w:proofErr w:type="spellStart"/>
    <w:r>
      <w:rPr>
        <w:color w:val="888888"/>
        <w:sz w:val="16"/>
        <w:szCs w:val="16"/>
      </w:rPr>
      <w:t>Sabuki</w:t>
    </w:r>
    <w:proofErr w:type="spellEnd"/>
    <w:r>
      <w:rPr>
        <w:color w:val="888888"/>
        <w:sz w:val="16"/>
        <w:szCs w:val="16"/>
      </w:rPr>
      <w:t xml:space="preserve">  |  Group 10 Signature Assessment        Page </w:t>
    </w:r>
    <w:r>
      <w:rPr>
        <w:color w:val="888888"/>
        <w:sz w:val="16"/>
        <w:szCs w:val="16"/>
      </w:rPr>
      <w:fldChar w:fldCharType="begin"/>
    </w:r>
    <w:r>
      <w:rPr>
        <w:color w:val="888888"/>
        <w:sz w:val="16"/>
        <w:szCs w:val="16"/>
      </w:rPr>
      <w:instrText>PAGE</w:instrText>
    </w:r>
    <w:r>
      <w:rPr>
        <w:color w:val="888888"/>
        <w:sz w:val="16"/>
        <w:szCs w:val="16"/>
      </w:rPr>
      <w:fldChar w:fldCharType="separate"/>
    </w:r>
    <w:r>
      <w:rPr>
        <w:noProof/>
        <w:color w:val="888888"/>
        <w:sz w:val="16"/>
        <w:szCs w:val="16"/>
      </w:rPr>
      <w:t>1</w:t>
    </w:r>
    <w:r>
      <w:rPr>
        <w:color w:val="888888"/>
        <w:sz w:val="16"/>
        <w:szCs w:val="16"/>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AF3"/>
    <w:rsid w:val="00710B35"/>
    <w:rsid w:val="00C07A71"/>
    <w:rsid w:val="00D30AF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2647AF9"/>
  <w15:chartTrackingRefBased/>
  <w15:docId w15:val="{5A6D3FC3-645C-E649-B1C9-A7E8EEDFA9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0AF3"/>
    <w:rPr>
      <w:rFonts w:ascii="Arial" w:eastAsia="Arial" w:hAnsi="Arial" w:cs="Arial"/>
      <w:kern w:val="0"/>
      <w:sz w:val="22"/>
      <w:szCs w:val="22"/>
      <w:lang w:val="en-PH"/>
      <w14:ligatures w14:val="none"/>
    </w:rPr>
  </w:style>
  <w:style w:type="paragraph" w:styleId="Heading1">
    <w:name w:val="heading 1"/>
    <w:link w:val="Heading1Char"/>
    <w:uiPriority w:val="9"/>
    <w:qFormat/>
    <w:rsid w:val="00D30AF3"/>
    <w:pPr>
      <w:pBdr>
        <w:bottom w:val="single" w:sz="6" w:space="2" w:color="1F3864"/>
      </w:pBdr>
      <w:spacing w:before="240" w:after="120"/>
      <w:outlineLvl w:val="0"/>
    </w:pPr>
    <w:rPr>
      <w:rFonts w:ascii="Arial" w:eastAsia="Arial" w:hAnsi="Arial" w:cs="Arial"/>
      <w:b/>
      <w:bCs/>
      <w:color w:val="1F3864"/>
      <w:kern w:val="0"/>
      <w:sz w:val="30"/>
      <w:szCs w:val="30"/>
      <w:lang w:val="en-PH"/>
      <w14:ligatures w14:val="none"/>
    </w:rPr>
  </w:style>
  <w:style w:type="paragraph" w:styleId="Heading2">
    <w:name w:val="heading 2"/>
    <w:link w:val="Heading2Char"/>
    <w:uiPriority w:val="9"/>
    <w:unhideWhenUsed/>
    <w:qFormat/>
    <w:rsid w:val="00D30AF3"/>
    <w:pPr>
      <w:spacing w:before="180" w:after="80"/>
      <w:outlineLvl w:val="1"/>
    </w:pPr>
    <w:rPr>
      <w:rFonts w:ascii="Arial" w:eastAsia="Arial" w:hAnsi="Arial" w:cs="Arial"/>
      <w:b/>
      <w:bCs/>
      <w:color w:val="2E5A88"/>
      <w:kern w:val="0"/>
      <w:lang w:val="en-PH"/>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0AF3"/>
    <w:rPr>
      <w:rFonts w:ascii="Arial" w:eastAsia="Arial" w:hAnsi="Arial" w:cs="Arial"/>
      <w:b/>
      <w:bCs/>
      <w:color w:val="1F3864"/>
      <w:kern w:val="0"/>
      <w:sz w:val="30"/>
      <w:szCs w:val="30"/>
      <w:lang w:val="en-PH"/>
      <w14:ligatures w14:val="none"/>
    </w:rPr>
  </w:style>
  <w:style w:type="character" w:customStyle="1" w:styleId="Heading2Char">
    <w:name w:val="Heading 2 Char"/>
    <w:basedOn w:val="DefaultParagraphFont"/>
    <w:link w:val="Heading2"/>
    <w:uiPriority w:val="9"/>
    <w:rsid w:val="00D30AF3"/>
    <w:rPr>
      <w:rFonts w:ascii="Arial" w:eastAsia="Arial" w:hAnsi="Arial" w:cs="Arial"/>
      <w:b/>
      <w:bCs/>
      <w:color w:val="2E5A88"/>
      <w:kern w:val="0"/>
      <w:lang w:val="en-P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6</Pages>
  <Words>2472</Words>
  <Characters>14092</Characters>
  <Application>Microsoft Office Word</Application>
  <DocSecurity>0</DocSecurity>
  <Lines>117</Lines>
  <Paragraphs>33</Paragraphs>
  <ScaleCrop>false</ScaleCrop>
  <Company/>
  <LinksUpToDate>false</LinksUpToDate>
  <CharactersWithSpaces>16531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2026-06-24T06:31:00Z</dcterms:created>
  <dcterms:modified xsi:type="dcterms:W3CDTF">2026-06-24T07:11:00Z</dcterms:modified>
</cp:coreProperties>
</file>