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96A32" w:rsidRPr="00296A32" w:rsidRDefault="00296A32" w:rsidP="00296A32">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296A32">
        <w:rPr>
          <w:rFonts w:ascii="Times New Roman" w:eastAsia="Times New Roman" w:hAnsi="Times New Roman" w:cs="Times New Roman"/>
          <w:b/>
          <w:bCs/>
          <w:color w:val="000000"/>
          <w:kern w:val="0"/>
          <w:sz w:val="27"/>
          <w:szCs w:val="27"/>
          <w:lang w:eastAsia="en-GB"/>
          <w14:ligatures w14:val="none"/>
        </w:rPr>
        <w:t>Threats </w:t>
      </w:r>
      <w:r w:rsidRPr="00296A32">
        <w:rPr>
          <w:rFonts w:ascii="Times New Roman" w:eastAsia="Times New Roman" w:hAnsi="Times New Roman" w:cs="Times New Roman"/>
          <w:b/>
          <w:bCs/>
          <w:i/>
          <w:iCs/>
          <w:color w:val="000000"/>
          <w:kern w:val="0"/>
          <w:sz w:val="27"/>
          <w:szCs w:val="27"/>
          <w:lang w:eastAsia="en-GB"/>
          <w14:ligatures w14:val="none"/>
        </w:rPr>
        <w:t>(Prepared by Stella)</w:t>
      </w:r>
    </w:p>
    <w:p w:rsidR="00296A32" w:rsidRPr="00296A32" w:rsidRDefault="00296A32" w:rsidP="00296A32">
      <w:pPr>
        <w:spacing w:before="100" w:beforeAutospacing="1" w:after="100" w:afterAutospacing="1"/>
        <w:rPr>
          <w:rFonts w:ascii="Times New Roman" w:eastAsia="Times New Roman" w:hAnsi="Times New Roman" w:cs="Times New Roman"/>
          <w:color w:val="000000"/>
          <w:kern w:val="0"/>
          <w:lang w:eastAsia="en-GB"/>
          <w14:ligatures w14:val="none"/>
        </w:rPr>
      </w:pPr>
      <w:r w:rsidRPr="00296A32">
        <w:rPr>
          <w:rFonts w:ascii="Times New Roman" w:eastAsia="Times New Roman" w:hAnsi="Times New Roman" w:cs="Times New Roman"/>
          <w:color w:val="000000"/>
          <w:kern w:val="0"/>
          <w:lang w:eastAsia="en-GB"/>
          <w14:ligatures w14:val="none"/>
        </w:rPr>
        <w:t xml:space="preserve">The ADC space has quietly become one of the most crowded arenas in oncology, and Pfizer is walking into a fight it has not had to face before at this scale. AbbVie spent $10.1 billion to acquire </w:t>
      </w:r>
      <w:proofErr w:type="spellStart"/>
      <w:r w:rsidRPr="00296A32">
        <w:rPr>
          <w:rFonts w:ascii="Times New Roman" w:eastAsia="Times New Roman" w:hAnsi="Times New Roman" w:cs="Times New Roman"/>
          <w:color w:val="000000"/>
          <w:kern w:val="0"/>
          <w:lang w:eastAsia="en-GB"/>
          <w14:ligatures w14:val="none"/>
        </w:rPr>
        <w:t>ImmunoGen</w:t>
      </w:r>
      <w:proofErr w:type="spellEnd"/>
      <w:r w:rsidRPr="00296A32">
        <w:rPr>
          <w:rFonts w:ascii="Times New Roman" w:eastAsia="Times New Roman" w:hAnsi="Times New Roman" w:cs="Times New Roman"/>
          <w:color w:val="000000"/>
          <w:kern w:val="0"/>
          <w:lang w:eastAsia="en-GB"/>
          <w14:ligatures w14:val="none"/>
        </w:rPr>
        <w:t xml:space="preserve">, Merck committed over $4 billion to license three ADCs from Daiichi Sankyo, Bristol Myers Squibb entered with an $800 million upfront deal, and Gilead continues to advance </w:t>
      </w:r>
      <w:proofErr w:type="spellStart"/>
      <w:r w:rsidRPr="00296A32">
        <w:rPr>
          <w:rFonts w:ascii="Times New Roman" w:eastAsia="Times New Roman" w:hAnsi="Times New Roman" w:cs="Times New Roman"/>
          <w:color w:val="000000"/>
          <w:kern w:val="0"/>
          <w:lang w:eastAsia="en-GB"/>
          <w14:ligatures w14:val="none"/>
        </w:rPr>
        <w:t>Trodelvy</w:t>
      </w:r>
      <w:proofErr w:type="spellEnd"/>
      <w:r w:rsidRPr="00296A32">
        <w:rPr>
          <w:rFonts w:ascii="Times New Roman" w:eastAsia="Times New Roman" w:hAnsi="Times New Roman" w:cs="Times New Roman"/>
          <w:color w:val="000000"/>
          <w:kern w:val="0"/>
          <w:lang w:eastAsia="en-GB"/>
          <w14:ligatures w14:val="none"/>
        </w:rPr>
        <w:t xml:space="preserve"> following its </w:t>
      </w:r>
      <w:proofErr w:type="spellStart"/>
      <w:r w:rsidRPr="00296A32">
        <w:rPr>
          <w:rFonts w:ascii="Times New Roman" w:eastAsia="Times New Roman" w:hAnsi="Times New Roman" w:cs="Times New Roman"/>
          <w:color w:val="000000"/>
          <w:kern w:val="0"/>
          <w:lang w:eastAsia="en-GB"/>
          <w14:ligatures w14:val="none"/>
        </w:rPr>
        <w:t>Immunomedics</w:t>
      </w:r>
      <w:proofErr w:type="spellEnd"/>
      <w:r w:rsidRPr="00296A32">
        <w:rPr>
          <w:rFonts w:ascii="Times New Roman" w:eastAsia="Times New Roman" w:hAnsi="Times New Roman" w:cs="Times New Roman"/>
          <w:color w:val="000000"/>
          <w:kern w:val="0"/>
          <w:lang w:eastAsia="en-GB"/>
          <w14:ligatures w14:val="none"/>
        </w:rPr>
        <w:t xml:space="preserve"> acquisition. These are not peripheral competitors they are large, </w:t>
      </w:r>
      <w:r w:rsidR="00640E77" w:rsidRPr="00296A32">
        <w:rPr>
          <w:rFonts w:ascii="Times New Roman" w:eastAsia="Times New Roman" w:hAnsi="Times New Roman" w:cs="Times New Roman"/>
          <w:color w:val="000000"/>
          <w:kern w:val="0"/>
          <w:lang w:eastAsia="en-GB"/>
          <w14:ligatures w14:val="none"/>
        </w:rPr>
        <w:t>well</w:t>
      </w:r>
      <w:r w:rsidR="00451EFA">
        <w:rPr>
          <w:rFonts w:ascii="Times New Roman" w:eastAsia="Times New Roman" w:hAnsi="Times New Roman" w:cs="Times New Roman"/>
          <w:color w:val="000000"/>
          <w:kern w:val="0"/>
          <w:lang w:eastAsia="en-GB"/>
          <w14:ligatures w14:val="none"/>
        </w:rPr>
        <w:t>-</w:t>
      </w:r>
      <w:r w:rsidR="00640E77">
        <w:rPr>
          <w:rFonts w:ascii="Times New Roman" w:eastAsia="Times New Roman" w:hAnsi="Times New Roman" w:cs="Times New Roman"/>
          <w:color w:val="000000"/>
          <w:kern w:val="0"/>
          <w:lang w:eastAsia="en-GB"/>
          <w14:ligatures w14:val="none"/>
        </w:rPr>
        <w:t>r</w:t>
      </w:r>
      <w:r w:rsidR="00640E77" w:rsidRPr="00296A32">
        <w:rPr>
          <w:rFonts w:ascii="Times New Roman" w:eastAsia="Times New Roman" w:hAnsi="Times New Roman" w:cs="Times New Roman"/>
          <w:color w:val="000000"/>
          <w:kern w:val="0"/>
          <w:lang w:eastAsia="en-GB"/>
          <w14:ligatures w14:val="none"/>
        </w:rPr>
        <w:t>esourced</w:t>
      </w:r>
      <w:r w:rsidRPr="00296A32">
        <w:rPr>
          <w:rFonts w:ascii="Times New Roman" w:eastAsia="Times New Roman" w:hAnsi="Times New Roman" w:cs="Times New Roman"/>
          <w:color w:val="000000"/>
          <w:kern w:val="0"/>
          <w:lang w:eastAsia="en-GB"/>
          <w14:ligatures w14:val="none"/>
        </w:rPr>
        <w:t xml:space="preserve"> companies that have been building ADC expertise for years. Pfizer is now stepping into a precision-oncology arms race where the rules are very different from its traditional strongholds in primary care and vaccines.</w:t>
      </w:r>
    </w:p>
    <w:p w:rsidR="00296A32" w:rsidRPr="00296A32" w:rsidRDefault="00296A32" w:rsidP="00296A32">
      <w:pPr>
        <w:spacing w:before="100" w:beforeAutospacing="1" w:after="100" w:afterAutospacing="1"/>
        <w:rPr>
          <w:rFonts w:ascii="Times New Roman" w:eastAsia="Times New Roman" w:hAnsi="Times New Roman" w:cs="Times New Roman"/>
          <w:color w:val="000000"/>
          <w:kern w:val="0"/>
          <w:lang w:eastAsia="en-GB"/>
          <w14:ligatures w14:val="none"/>
        </w:rPr>
      </w:pPr>
      <w:r w:rsidRPr="00296A32">
        <w:rPr>
          <w:rFonts w:ascii="Times New Roman" w:eastAsia="Times New Roman" w:hAnsi="Times New Roman" w:cs="Times New Roman"/>
          <w:color w:val="000000"/>
          <w:kern w:val="0"/>
          <w:lang w:eastAsia="en-GB"/>
          <w14:ligatures w14:val="none"/>
        </w:rPr>
        <w:t>Beyond competition, the timing of this integration creates a meaningful cybersecurity window of exposure. Pharmaceutical mergers are well-known targets for ransomware groups and nation</w:t>
      </w:r>
      <w:r w:rsidR="00640E77">
        <w:rPr>
          <w:rFonts w:ascii="Times New Roman" w:eastAsia="Times New Roman" w:hAnsi="Times New Roman" w:cs="Times New Roman"/>
          <w:color w:val="000000"/>
          <w:kern w:val="0"/>
          <w:lang w:eastAsia="en-GB"/>
          <w14:ligatures w14:val="none"/>
        </w:rPr>
        <w:t xml:space="preserve"> </w:t>
      </w:r>
      <w:r w:rsidRPr="00296A32">
        <w:rPr>
          <w:rFonts w:ascii="Times New Roman" w:eastAsia="Times New Roman" w:hAnsi="Times New Roman" w:cs="Times New Roman"/>
          <w:color w:val="000000"/>
          <w:kern w:val="0"/>
          <w:lang w:eastAsia="en-GB"/>
          <w14:ligatures w14:val="none"/>
        </w:rPr>
        <w:t xml:space="preserve">state actors, precisely because two companies connecting their systems creates gaps that did not exist before. For Pfizer and </w:t>
      </w:r>
      <w:proofErr w:type="spellStart"/>
      <w:r w:rsidRPr="00296A32">
        <w:rPr>
          <w:rFonts w:ascii="Times New Roman" w:eastAsia="Times New Roman" w:hAnsi="Times New Roman" w:cs="Times New Roman"/>
          <w:color w:val="000000"/>
          <w:kern w:val="0"/>
          <w:lang w:eastAsia="en-GB"/>
          <w14:ligatures w14:val="none"/>
        </w:rPr>
        <w:t>Seagen</w:t>
      </w:r>
      <w:proofErr w:type="spellEnd"/>
      <w:r w:rsidRPr="00296A32">
        <w:rPr>
          <w:rFonts w:ascii="Times New Roman" w:eastAsia="Times New Roman" w:hAnsi="Times New Roman" w:cs="Times New Roman"/>
          <w:color w:val="000000"/>
          <w:kern w:val="0"/>
          <w:lang w:eastAsia="en-GB"/>
          <w14:ligatures w14:val="none"/>
        </w:rPr>
        <w:t>, the stakes are especially high the ADC linker-payload technology at the heart of this deal is exactly the kind of proprietary IP that competitors and foreign actors would want. A breach during integration could expose that IP, trigger HIPAA or GDPR enforcement actions, and delay FDA submissions all at once, at the worst possible moment.</w:t>
      </w:r>
    </w:p>
    <w:p w:rsidR="00296A32" w:rsidRPr="00296A32" w:rsidRDefault="00296A32" w:rsidP="00296A32">
      <w:pPr>
        <w:spacing w:before="100" w:beforeAutospacing="1" w:after="100" w:afterAutospacing="1"/>
        <w:rPr>
          <w:rFonts w:ascii="Times New Roman" w:eastAsia="Times New Roman" w:hAnsi="Times New Roman" w:cs="Times New Roman"/>
          <w:color w:val="000000"/>
          <w:kern w:val="0"/>
          <w:lang w:eastAsia="en-GB"/>
          <w14:ligatures w14:val="none"/>
        </w:rPr>
      </w:pPr>
      <w:r w:rsidRPr="00296A32">
        <w:rPr>
          <w:rFonts w:ascii="Times New Roman" w:eastAsia="Times New Roman" w:hAnsi="Times New Roman" w:cs="Times New Roman"/>
          <w:color w:val="000000"/>
          <w:kern w:val="0"/>
          <w:lang w:eastAsia="en-GB"/>
          <w14:ligatures w14:val="none"/>
        </w:rPr>
        <w:t xml:space="preserve">Finally, the U.S. pricing and regulatory environment has shifted in ways that directly threaten the financial case for this deal. The Inflation Reduction Act introduced Medicare drug-price negotiation, which could compress margins on future </w:t>
      </w:r>
      <w:proofErr w:type="spellStart"/>
      <w:r w:rsidRPr="00296A32">
        <w:rPr>
          <w:rFonts w:ascii="Times New Roman" w:eastAsia="Times New Roman" w:hAnsi="Times New Roman" w:cs="Times New Roman"/>
          <w:color w:val="000000"/>
          <w:kern w:val="0"/>
          <w:lang w:eastAsia="en-GB"/>
          <w14:ligatures w14:val="none"/>
        </w:rPr>
        <w:t>Seagen</w:t>
      </w:r>
      <w:proofErr w:type="spellEnd"/>
      <w:r w:rsidR="00640E77">
        <w:rPr>
          <w:rFonts w:ascii="Times New Roman" w:eastAsia="Times New Roman" w:hAnsi="Times New Roman" w:cs="Times New Roman"/>
          <w:color w:val="000000"/>
          <w:kern w:val="0"/>
          <w:lang w:eastAsia="en-GB"/>
          <w14:ligatures w14:val="none"/>
        </w:rPr>
        <w:t xml:space="preserve"> </w:t>
      </w:r>
      <w:r w:rsidRPr="00296A32">
        <w:rPr>
          <w:rFonts w:ascii="Times New Roman" w:eastAsia="Times New Roman" w:hAnsi="Times New Roman" w:cs="Times New Roman"/>
          <w:color w:val="000000"/>
          <w:kern w:val="0"/>
          <w:lang w:eastAsia="en-GB"/>
          <w14:ligatures w14:val="none"/>
        </w:rPr>
        <w:t>derived blockbusters that Pfizer is counting on to hit its $10 billion revenue target by 2030. The FTC's extended review of the acquisition itself signals that large pharma M&amp;A is under a different level of scrutiny than it was a decade ago. Product liability and patent litigation in oncology add further unpredictability to an already complex picture.</w:t>
      </w:r>
    </w:p>
    <w:p w:rsidR="00296A32" w:rsidRPr="00296A32" w:rsidRDefault="00296A32" w:rsidP="00296A32">
      <w:pPr>
        <w:rPr>
          <w:rFonts w:ascii="Times New Roman" w:eastAsia="Times New Roman" w:hAnsi="Times New Roman" w:cs="Times New Roman"/>
          <w:kern w:val="0"/>
          <w:lang w:eastAsia="en-GB"/>
          <w14:ligatures w14:val="none"/>
        </w:rPr>
      </w:pPr>
    </w:p>
    <w:p w:rsidR="00296A32" w:rsidRPr="00296A32" w:rsidRDefault="00296A32" w:rsidP="00296A32">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296A32">
        <w:rPr>
          <w:rFonts w:ascii="Times New Roman" w:eastAsia="Times New Roman" w:hAnsi="Times New Roman" w:cs="Times New Roman"/>
          <w:b/>
          <w:bCs/>
          <w:color w:val="000000"/>
          <w:kern w:val="0"/>
          <w:sz w:val="27"/>
          <w:szCs w:val="27"/>
          <w:lang w:eastAsia="en-GB"/>
          <w14:ligatures w14:val="none"/>
        </w:rPr>
        <w:t>Section 5.2 Information</w:t>
      </w:r>
      <w:r w:rsidR="00640E77">
        <w:rPr>
          <w:rFonts w:ascii="Times New Roman" w:eastAsia="Times New Roman" w:hAnsi="Times New Roman" w:cs="Times New Roman"/>
          <w:b/>
          <w:bCs/>
          <w:color w:val="000000"/>
          <w:kern w:val="0"/>
          <w:sz w:val="27"/>
          <w:szCs w:val="27"/>
          <w:lang w:eastAsia="en-GB"/>
          <w14:ligatures w14:val="none"/>
        </w:rPr>
        <w:t xml:space="preserve"> </w:t>
      </w:r>
      <w:r w:rsidRPr="00296A32">
        <w:rPr>
          <w:rFonts w:ascii="Times New Roman" w:eastAsia="Times New Roman" w:hAnsi="Times New Roman" w:cs="Times New Roman"/>
          <w:b/>
          <w:bCs/>
          <w:color w:val="000000"/>
          <w:kern w:val="0"/>
          <w:sz w:val="27"/>
          <w:szCs w:val="27"/>
          <w:lang w:eastAsia="en-GB"/>
          <w14:ligatures w14:val="none"/>
        </w:rPr>
        <w:t>Security Risk </w:t>
      </w:r>
    </w:p>
    <w:p w:rsidR="00296A32" w:rsidRPr="00296A32" w:rsidRDefault="00296A32" w:rsidP="00296A32">
      <w:pPr>
        <w:spacing w:before="100" w:beforeAutospacing="1" w:after="100" w:afterAutospacing="1"/>
        <w:rPr>
          <w:rFonts w:ascii="Times New Roman" w:eastAsia="Times New Roman" w:hAnsi="Times New Roman" w:cs="Times New Roman"/>
          <w:color w:val="000000"/>
          <w:kern w:val="0"/>
          <w:lang w:eastAsia="en-GB"/>
          <w14:ligatures w14:val="none"/>
        </w:rPr>
      </w:pPr>
      <w:r w:rsidRPr="00296A32">
        <w:rPr>
          <w:rFonts w:ascii="Times New Roman" w:eastAsia="Times New Roman" w:hAnsi="Times New Roman" w:cs="Times New Roman"/>
          <w:color w:val="000000"/>
          <w:kern w:val="0"/>
          <w:lang w:eastAsia="en-GB"/>
          <w14:ligatures w14:val="none"/>
        </w:rPr>
        <w:t>If there is one area where this integration cannot afford to move fast and figure things out later, it is</w:t>
      </w:r>
      <w:r w:rsidR="00E271F5">
        <w:rPr>
          <w:rFonts w:ascii="Times New Roman" w:eastAsia="Times New Roman" w:hAnsi="Times New Roman" w:cs="Times New Roman"/>
          <w:color w:val="000000"/>
          <w:kern w:val="0"/>
          <w:lang w:eastAsia="en-GB"/>
          <w14:ligatures w14:val="none"/>
        </w:rPr>
        <w:t xml:space="preserve"> the </w:t>
      </w:r>
      <w:r w:rsidRPr="00296A32">
        <w:rPr>
          <w:rFonts w:ascii="Times New Roman" w:eastAsia="Times New Roman" w:hAnsi="Times New Roman" w:cs="Times New Roman"/>
          <w:color w:val="000000"/>
          <w:kern w:val="0"/>
          <w:lang w:eastAsia="en-GB"/>
          <w14:ligatures w14:val="none"/>
        </w:rPr>
        <w:t xml:space="preserve">information security. Pharma M&amp;A is a known hunting ground for ransomware operators and nation-state actors, and the window between signing and full system integration is when companies are most exposed. In Pfizer and </w:t>
      </w:r>
      <w:proofErr w:type="spellStart"/>
      <w:r w:rsidRPr="00296A32">
        <w:rPr>
          <w:rFonts w:ascii="Times New Roman" w:eastAsia="Times New Roman" w:hAnsi="Times New Roman" w:cs="Times New Roman"/>
          <w:color w:val="000000"/>
          <w:kern w:val="0"/>
          <w:lang w:eastAsia="en-GB"/>
          <w14:ligatures w14:val="none"/>
        </w:rPr>
        <w:t>Seagen's</w:t>
      </w:r>
      <w:proofErr w:type="spellEnd"/>
      <w:r w:rsidRPr="00296A32">
        <w:rPr>
          <w:rFonts w:ascii="Times New Roman" w:eastAsia="Times New Roman" w:hAnsi="Times New Roman" w:cs="Times New Roman"/>
          <w:color w:val="000000"/>
          <w:kern w:val="0"/>
          <w:lang w:eastAsia="en-GB"/>
          <w14:ligatures w14:val="none"/>
        </w:rPr>
        <w:t xml:space="preserve"> case, the risk is not just operational the proprietary ADC linker-payload science that justified a $43 billion price tag is exactly the kind of asset that adversaries would target for IP exfiltration.</w:t>
      </w:r>
    </w:p>
    <w:p w:rsidR="00296A32" w:rsidRPr="00296A32" w:rsidRDefault="00296A32" w:rsidP="00296A32">
      <w:pPr>
        <w:spacing w:before="100" w:beforeAutospacing="1" w:after="100" w:afterAutospacing="1"/>
        <w:rPr>
          <w:rFonts w:ascii="Times New Roman" w:eastAsia="Times New Roman" w:hAnsi="Times New Roman" w:cs="Times New Roman"/>
          <w:color w:val="000000"/>
          <w:kern w:val="0"/>
          <w:lang w:eastAsia="en-GB"/>
          <w14:ligatures w14:val="none"/>
        </w:rPr>
      </w:pPr>
      <w:r w:rsidRPr="00296A32">
        <w:rPr>
          <w:rFonts w:ascii="Times New Roman" w:eastAsia="Times New Roman" w:hAnsi="Times New Roman" w:cs="Times New Roman"/>
          <w:color w:val="000000"/>
          <w:kern w:val="0"/>
          <w:lang w:eastAsia="en-GB"/>
          <w14:ligatures w14:val="none"/>
        </w:rPr>
        <w:t xml:space="preserve">The specific risks here are </w:t>
      </w:r>
      <w:r w:rsidR="00E271F5">
        <w:rPr>
          <w:rFonts w:ascii="Times New Roman" w:eastAsia="Times New Roman" w:hAnsi="Times New Roman" w:cs="Times New Roman"/>
          <w:color w:val="000000"/>
          <w:kern w:val="0"/>
          <w:lang w:eastAsia="en-GB"/>
          <w14:ligatures w14:val="none"/>
        </w:rPr>
        <w:t xml:space="preserve">mostly </w:t>
      </w:r>
      <w:r w:rsidRPr="00296A32">
        <w:rPr>
          <w:rFonts w:ascii="Times New Roman" w:eastAsia="Times New Roman" w:hAnsi="Times New Roman" w:cs="Times New Roman"/>
          <w:color w:val="000000"/>
          <w:kern w:val="0"/>
          <w:lang w:eastAsia="en-GB"/>
          <w14:ligatures w14:val="none"/>
        </w:rPr>
        <w:t xml:space="preserve">layered. There is the threat of ransomware hitting clinical or manufacturing systems mid-integration. There is the risk of ePHI exposure under both HIPAA and GDPR as patient data moves between environments. There is credential compromise as identity systems from two large organisations are consolidated. And there is the quieter but real risk of insider threats and elevated third-party exposure as </w:t>
      </w:r>
      <w:proofErr w:type="spellStart"/>
      <w:r w:rsidRPr="00296A32">
        <w:rPr>
          <w:rFonts w:ascii="Times New Roman" w:eastAsia="Times New Roman" w:hAnsi="Times New Roman" w:cs="Times New Roman"/>
          <w:color w:val="000000"/>
          <w:kern w:val="0"/>
          <w:lang w:eastAsia="en-GB"/>
          <w14:ligatures w14:val="none"/>
        </w:rPr>
        <w:t>Seagen's</w:t>
      </w:r>
      <w:proofErr w:type="spellEnd"/>
      <w:r w:rsidRPr="00296A32">
        <w:rPr>
          <w:rFonts w:ascii="Times New Roman" w:eastAsia="Times New Roman" w:hAnsi="Times New Roman" w:cs="Times New Roman"/>
          <w:color w:val="000000"/>
          <w:kern w:val="0"/>
          <w:lang w:eastAsia="en-GB"/>
          <w14:ligatures w14:val="none"/>
        </w:rPr>
        <w:t xml:space="preserve"> entire vendor ecosystem gets onboarded into Pfizer's risk perimeter.</w:t>
      </w:r>
    </w:p>
    <w:p w:rsidR="00296A32" w:rsidRPr="00296A32" w:rsidRDefault="00296A32" w:rsidP="00640E77">
      <w:pPr>
        <w:spacing w:before="100" w:beforeAutospacing="1" w:after="100" w:afterAutospacing="1"/>
        <w:rPr>
          <w:rFonts w:ascii="Times New Roman" w:eastAsia="Times New Roman" w:hAnsi="Times New Roman" w:cs="Times New Roman"/>
          <w:color w:val="000000"/>
          <w:kern w:val="0"/>
          <w:lang w:eastAsia="en-GB"/>
          <w14:ligatures w14:val="none"/>
        </w:rPr>
      </w:pPr>
      <w:r w:rsidRPr="00296A32">
        <w:rPr>
          <w:rFonts w:ascii="Times New Roman" w:eastAsia="Times New Roman" w:hAnsi="Times New Roman" w:cs="Times New Roman"/>
          <w:color w:val="000000"/>
          <w:kern w:val="0"/>
          <w:lang w:eastAsia="en-GB"/>
          <w14:ligatures w14:val="none"/>
        </w:rPr>
        <w:t xml:space="preserve">Addressing these risks requires controls that are in place before integration begins, not after. Zero-trust network segmentation between legacy environments should hold until each connection is validated. </w:t>
      </w:r>
      <w:proofErr w:type="spellStart"/>
      <w:r w:rsidRPr="00296A32">
        <w:rPr>
          <w:rFonts w:ascii="Times New Roman" w:eastAsia="Times New Roman" w:hAnsi="Times New Roman" w:cs="Times New Roman"/>
          <w:color w:val="000000"/>
          <w:kern w:val="0"/>
          <w:lang w:eastAsia="en-GB"/>
          <w14:ligatures w14:val="none"/>
        </w:rPr>
        <w:t>Seagen's</w:t>
      </w:r>
      <w:proofErr w:type="spellEnd"/>
      <w:r w:rsidRPr="00296A32">
        <w:rPr>
          <w:rFonts w:ascii="Times New Roman" w:eastAsia="Times New Roman" w:hAnsi="Times New Roman" w:cs="Times New Roman"/>
          <w:color w:val="000000"/>
          <w:kern w:val="0"/>
          <w:lang w:eastAsia="en-GB"/>
          <w14:ligatures w14:val="none"/>
        </w:rPr>
        <w:t xml:space="preserve"> log sources need to feed into Pfizer's SOC from day one not after a few months of migration. Enforced multi-factor authentication and privileged access </w:t>
      </w:r>
      <w:r w:rsidRPr="00296A32">
        <w:rPr>
          <w:rFonts w:ascii="Times New Roman" w:eastAsia="Times New Roman" w:hAnsi="Times New Roman" w:cs="Times New Roman"/>
          <w:color w:val="000000"/>
          <w:kern w:val="0"/>
          <w:lang w:eastAsia="en-GB"/>
          <w14:ligatures w14:val="none"/>
        </w:rPr>
        <w:lastRenderedPageBreak/>
        <w:t xml:space="preserve">management are non-negotiable during identity consolidation. Third-party vendors inherited from </w:t>
      </w:r>
      <w:proofErr w:type="spellStart"/>
      <w:r w:rsidRPr="00296A32">
        <w:rPr>
          <w:rFonts w:ascii="Times New Roman" w:eastAsia="Times New Roman" w:hAnsi="Times New Roman" w:cs="Times New Roman"/>
          <w:color w:val="000000"/>
          <w:kern w:val="0"/>
          <w:lang w:eastAsia="en-GB"/>
          <w14:ligatures w14:val="none"/>
        </w:rPr>
        <w:t>Seagen</w:t>
      </w:r>
      <w:proofErr w:type="spellEnd"/>
      <w:r w:rsidRPr="00296A32">
        <w:rPr>
          <w:rFonts w:ascii="Times New Roman" w:eastAsia="Times New Roman" w:hAnsi="Times New Roman" w:cs="Times New Roman"/>
          <w:color w:val="000000"/>
          <w:kern w:val="0"/>
          <w:lang w:eastAsia="en-GB"/>
          <w14:ligatures w14:val="none"/>
        </w:rPr>
        <w:t xml:space="preserve"> need their own diligence cycle. And given how specific the M&amp;A threat scenarios are, tabletop exercises designed around breach-during-acquisition scenarios will be far more useful than generic incident response drills. Where personal data is being processed or transferred, Data Protection Impact Assessments should be completed proactively.</w:t>
      </w:r>
    </w:p>
    <w:p w:rsidR="00296A32" w:rsidRPr="00296A32" w:rsidRDefault="00296A32" w:rsidP="00296A32">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296A32">
        <w:rPr>
          <w:rFonts w:ascii="Times New Roman" w:eastAsia="Times New Roman" w:hAnsi="Times New Roman" w:cs="Times New Roman"/>
          <w:b/>
          <w:bCs/>
          <w:color w:val="000000"/>
          <w:kern w:val="0"/>
          <w:sz w:val="27"/>
          <w:szCs w:val="27"/>
          <w:lang w:eastAsia="en-GB"/>
          <w14:ligatures w14:val="none"/>
        </w:rPr>
        <w:t>Section 6 Conclusion </w:t>
      </w:r>
    </w:p>
    <w:p w:rsidR="00296A32" w:rsidRPr="00296A32" w:rsidRDefault="00296A32" w:rsidP="00296A32">
      <w:pPr>
        <w:spacing w:before="100" w:beforeAutospacing="1" w:after="100" w:afterAutospacing="1"/>
        <w:rPr>
          <w:rFonts w:ascii="Times New Roman" w:eastAsia="Times New Roman" w:hAnsi="Times New Roman" w:cs="Times New Roman"/>
          <w:color w:val="000000"/>
          <w:kern w:val="0"/>
          <w:lang w:eastAsia="en-GB"/>
          <w14:ligatures w14:val="none"/>
        </w:rPr>
      </w:pPr>
      <w:r w:rsidRPr="00296A32">
        <w:rPr>
          <w:rFonts w:ascii="Times New Roman" w:eastAsia="Times New Roman" w:hAnsi="Times New Roman" w:cs="Times New Roman"/>
          <w:color w:val="000000"/>
          <w:kern w:val="0"/>
          <w:lang w:eastAsia="en-GB"/>
          <w14:ligatures w14:val="none"/>
        </w:rPr>
        <w:t>On paper, the Pfizer</w:t>
      </w:r>
      <w:r w:rsidR="00640E77">
        <w:rPr>
          <w:rFonts w:ascii="Times New Roman" w:eastAsia="Times New Roman" w:hAnsi="Times New Roman" w:cs="Times New Roman"/>
          <w:color w:val="000000"/>
          <w:kern w:val="0"/>
          <w:lang w:eastAsia="en-GB"/>
          <w14:ligatures w14:val="none"/>
        </w:rPr>
        <w:t xml:space="preserve"> </w:t>
      </w:r>
      <w:proofErr w:type="spellStart"/>
      <w:r w:rsidRPr="00296A32">
        <w:rPr>
          <w:rFonts w:ascii="Times New Roman" w:eastAsia="Times New Roman" w:hAnsi="Times New Roman" w:cs="Times New Roman"/>
          <w:color w:val="000000"/>
          <w:kern w:val="0"/>
          <w:lang w:eastAsia="en-GB"/>
          <w14:ligatures w14:val="none"/>
        </w:rPr>
        <w:t>Seagen</w:t>
      </w:r>
      <w:proofErr w:type="spellEnd"/>
      <w:r w:rsidRPr="00296A32">
        <w:rPr>
          <w:rFonts w:ascii="Times New Roman" w:eastAsia="Times New Roman" w:hAnsi="Times New Roman" w:cs="Times New Roman"/>
          <w:color w:val="000000"/>
          <w:kern w:val="0"/>
          <w:lang w:eastAsia="en-GB"/>
          <w14:ligatures w14:val="none"/>
        </w:rPr>
        <w:t xml:space="preserve"> deal makes sense. Pfizer needed to address a significant patent cliff, ADC technology is reshaping how oncology is practiced, and four in</w:t>
      </w:r>
      <w:r w:rsidR="00640E77">
        <w:rPr>
          <w:rFonts w:ascii="Times New Roman" w:eastAsia="Times New Roman" w:hAnsi="Times New Roman" w:cs="Times New Roman"/>
          <w:color w:val="000000"/>
          <w:kern w:val="0"/>
          <w:lang w:eastAsia="en-GB"/>
          <w14:ligatures w14:val="none"/>
        </w:rPr>
        <w:t xml:space="preserve"> </w:t>
      </w:r>
      <w:r w:rsidRPr="00296A32">
        <w:rPr>
          <w:rFonts w:ascii="Times New Roman" w:eastAsia="Times New Roman" w:hAnsi="Times New Roman" w:cs="Times New Roman"/>
          <w:color w:val="000000"/>
          <w:kern w:val="0"/>
          <w:lang w:eastAsia="en-GB"/>
          <w14:ligatures w14:val="none"/>
        </w:rPr>
        <w:t>line medicines with growing revenue provided immediate commercial value alongside a pipeline of 60 programs.</w:t>
      </w:r>
      <w:r w:rsidR="00640E77">
        <w:rPr>
          <w:rFonts w:ascii="Times New Roman" w:eastAsia="Times New Roman" w:hAnsi="Times New Roman" w:cs="Times New Roman"/>
          <w:color w:val="000000"/>
          <w:kern w:val="0"/>
          <w:lang w:eastAsia="en-GB"/>
          <w14:ligatures w14:val="none"/>
        </w:rPr>
        <w:t xml:space="preserve"> </w:t>
      </w:r>
      <w:r w:rsidRPr="00296A32">
        <w:rPr>
          <w:rFonts w:ascii="Times New Roman" w:eastAsia="Times New Roman" w:hAnsi="Times New Roman" w:cs="Times New Roman"/>
          <w:color w:val="000000"/>
          <w:kern w:val="0"/>
          <w:lang w:eastAsia="en-GB"/>
          <w14:ligatures w14:val="none"/>
        </w:rPr>
        <w:t>The strategic logic is hard to argue with.</w:t>
      </w:r>
    </w:p>
    <w:p w:rsidR="00296A32" w:rsidRPr="00296A32" w:rsidRDefault="00296A32" w:rsidP="00296A32">
      <w:pPr>
        <w:spacing w:before="100" w:beforeAutospacing="1" w:after="100" w:afterAutospacing="1"/>
        <w:rPr>
          <w:rFonts w:ascii="Times New Roman" w:eastAsia="Times New Roman" w:hAnsi="Times New Roman" w:cs="Times New Roman"/>
          <w:color w:val="000000"/>
          <w:kern w:val="0"/>
          <w:lang w:eastAsia="en-GB"/>
          <w14:ligatures w14:val="none"/>
        </w:rPr>
      </w:pPr>
      <w:r w:rsidRPr="00296A32">
        <w:rPr>
          <w:rFonts w:ascii="Times New Roman" w:eastAsia="Times New Roman" w:hAnsi="Times New Roman" w:cs="Times New Roman"/>
          <w:color w:val="000000"/>
          <w:kern w:val="0"/>
          <w:lang w:eastAsia="en-GB"/>
          <w14:ligatures w14:val="none"/>
        </w:rPr>
        <w:t xml:space="preserve">The harder question is execution. The risks that matter most here are not the ones that show up in a market analysis they are the internal ones: whether </w:t>
      </w:r>
      <w:proofErr w:type="spellStart"/>
      <w:r w:rsidRPr="00296A32">
        <w:rPr>
          <w:rFonts w:ascii="Times New Roman" w:eastAsia="Times New Roman" w:hAnsi="Times New Roman" w:cs="Times New Roman"/>
          <w:color w:val="000000"/>
          <w:kern w:val="0"/>
          <w:lang w:eastAsia="en-GB"/>
          <w14:ligatures w14:val="none"/>
        </w:rPr>
        <w:t>Seagen's</w:t>
      </w:r>
      <w:proofErr w:type="spellEnd"/>
      <w:r w:rsidRPr="00296A32">
        <w:rPr>
          <w:rFonts w:ascii="Times New Roman" w:eastAsia="Times New Roman" w:hAnsi="Times New Roman" w:cs="Times New Roman"/>
          <w:color w:val="000000"/>
          <w:kern w:val="0"/>
          <w:lang w:eastAsia="en-GB"/>
          <w14:ligatures w14:val="none"/>
        </w:rPr>
        <w:t xml:space="preserve"> ADC scientists stay, whether two very different organisational cultures can be integrated without losing what made </w:t>
      </w:r>
      <w:proofErr w:type="spellStart"/>
      <w:r w:rsidRPr="00296A32">
        <w:rPr>
          <w:rFonts w:ascii="Times New Roman" w:eastAsia="Times New Roman" w:hAnsi="Times New Roman" w:cs="Times New Roman"/>
          <w:color w:val="000000"/>
          <w:kern w:val="0"/>
          <w:lang w:eastAsia="en-GB"/>
          <w14:ligatures w14:val="none"/>
        </w:rPr>
        <w:t>Seagen</w:t>
      </w:r>
      <w:proofErr w:type="spellEnd"/>
      <w:r w:rsidRPr="00296A32">
        <w:rPr>
          <w:rFonts w:ascii="Times New Roman" w:eastAsia="Times New Roman" w:hAnsi="Times New Roman" w:cs="Times New Roman"/>
          <w:color w:val="000000"/>
          <w:kern w:val="0"/>
          <w:lang w:eastAsia="en-GB"/>
          <w14:ligatures w14:val="none"/>
        </w:rPr>
        <w:t xml:space="preserve"> valuable, whether cybersecurity controls hold during a period of significant system exposure, and whether the $10 billion revenue projection survives the combined pressure of IRA pricing negotiations, intensifying ADC competition, and an FTC environment that is watching large pharma M&amp;A closely.</w:t>
      </w:r>
    </w:p>
    <w:p w:rsidR="00296A32" w:rsidRPr="00296A32" w:rsidRDefault="00296A32" w:rsidP="00296A32">
      <w:pPr>
        <w:spacing w:before="100" w:beforeAutospacing="1" w:after="100" w:afterAutospacing="1"/>
        <w:rPr>
          <w:rFonts w:ascii="Times New Roman" w:eastAsia="Times New Roman" w:hAnsi="Times New Roman" w:cs="Times New Roman"/>
          <w:color w:val="000000"/>
          <w:kern w:val="0"/>
          <w:lang w:eastAsia="en-GB"/>
          <w14:ligatures w14:val="none"/>
        </w:rPr>
      </w:pPr>
      <w:r w:rsidRPr="00296A32">
        <w:rPr>
          <w:rFonts w:ascii="Times New Roman" w:eastAsia="Times New Roman" w:hAnsi="Times New Roman" w:cs="Times New Roman"/>
          <w:color w:val="000000"/>
          <w:kern w:val="0"/>
          <w:lang w:eastAsia="en-GB"/>
          <w14:ligatures w14:val="none"/>
        </w:rPr>
        <w:t>What makes this SWOT analysis useful beyond the exercise itself is that it does not stop at identifying risks it connects them to measurable indicators and preliminary controls. The KRIs in Section 3 and the contributing factors and controls in Section 4 give the integration team something to actually monitor and act on. That is what ERM is supposed to do: not predict every bad outcome, but build the visibility and response capacity to catch problems early enough to course-correct. For a deal of this size and complexity, that kind of structured risk intelligence is not optional it is what determines whether the strategic thesis becomes realised value or an expensive lesson.</w:t>
      </w:r>
    </w:p>
    <w:p w:rsidR="00C07A71" w:rsidRDefault="00C07A71"/>
    <w:sectPr w:rsidR="00C07A71" w:rsidSect="00710B3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A32"/>
    <w:rsid w:val="00296A32"/>
    <w:rsid w:val="00451EFA"/>
    <w:rsid w:val="00640E77"/>
    <w:rsid w:val="00710B35"/>
    <w:rsid w:val="008E53B9"/>
    <w:rsid w:val="00C07A71"/>
    <w:rsid w:val="00E271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C7F30"/>
  <w15:chartTrackingRefBased/>
  <w15:docId w15:val="{3041434C-F204-724E-9420-C18EC0285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96A32"/>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96A32"/>
    <w:rPr>
      <w:rFonts w:ascii="Times New Roman" w:eastAsia="Times New Roman" w:hAnsi="Times New Roman" w:cs="Times New Roman"/>
      <w:b/>
      <w:bCs/>
      <w:kern w:val="0"/>
      <w:sz w:val="27"/>
      <w:szCs w:val="27"/>
      <w:lang w:eastAsia="en-GB"/>
      <w14:ligatures w14:val="none"/>
    </w:rPr>
  </w:style>
  <w:style w:type="character" w:customStyle="1" w:styleId="apple-converted-space">
    <w:name w:val="apple-converted-space"/>
    <w:basedOn w:val="DefaultParagraphFont"/>
    <w:rsid w:val="00296A32"/>
  </w:style>
  <w:style w:type="character" w:styleId="Emphasis">
    <w:name w:val="Emphasis"/>
    <w:basedOn w:val="DefaultParagraphFont"/>
    <w:uiPriority w:val="20"/>
    <w:qFormat/>
    <w:rsid w:val="00296A32"/>
    <w:rPr>
      <w:i/>
      <w:iCs/>
    </w:rPr>
  </w:style>
  <w:style w:type="paragraph" w:customStyle="1" w:styleId="font-claude-response-body">
    <w:name w:val="font-claude-response-body"/>
    <w:basedOn w:val="Normal"/>
    <w:rsid w:val="00296A32"/>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9700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821</Words>
  <Characters>4685</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2026-05-26T04:12:00Z</dcterms:created>
  <dcterms:modified xsi:type="dcterms:W3CDTF">2026-05-26T04:57:00Z</dcterms:modified>
</cp:coreProperties>
</file>