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1672" w:rsidRPr="00D81672" w:rsidRDefault="00D81672" w:rsidP="00D81672">
      <w:pPr>
        <w:spacing w:before="100" w:beforeAutospacing="1" w:after="100" w:afterAutospacing="1"/>
        <w:outlineLvl w:val="1"/>
        <w:rPr>
          <w:rFonts w:ascii="Times New Roman" w:eastAsia="Times New Roman" w:hAnsi="Times New Roman" w:cs="Times New Roman"/>
          <w:b/>
          <w:bCs/>
          <w:color w:val="000000"/>
          <w:kern w:val="0"/>
          <w:sz w:val="36"/>
          <w:szCs w:val="36"/>
          <w:lang w:eastAsia="en-GB"/>
          <w14:ligatures w14:val="none"/>
        </w:rPr>
      </w:pPr>
      <w:r w:rsidRPr="00D81672">
        <w:rPr>
          <w:rFonts w:ascii="Times New Roman" w:eastAsia="Times New Roman" w:hAnsi="Times New Roman" w:cs="Times New Roman"/>
          <w:b/>
          <w:bCs/>
          <w:color w:val="000000"/>
          <w:kern w:val="0"/>
          <w:sz w:val="36"/>
          <w:szCs w:val="36"/>
          <w:lang w:eastAsia="en-GB"/>
          <w14:ligatures w14:val="none"/>
        </w:rPr>
        <w:t>Risk Response Planning Pfizer–</w:t>
      </w:r>
      <w:proofErr w:type="spellStart"/>
      <w:r w:rsidRPr="00D81672">
        <w:rPr>
          <w:rFonts w:ascii="Times New Roman" w:eastAsia="Times New Roman" w:hAnsi="Times New Roman" w:cs="Times New Roman"/>
          <w:b/>
          <w:bCs/>
          <w:color w:val="000000"/>
          <w:kern w:val="0"/>
          <w:sz w:val="36"/>
          <w:szCs w:val="36"/>
          <w:lang w:eastAsia="en-GB"/>
          <w14:ligatures w14:val="none"/>
        </w:rPr>
        <w:t>Seagen</w:t>
      </w:r>
      <w:proofErr w:type="spellEnd"/>
      <w:r w:rsidRPr="00D81672">
        <w:rPr>
          <w:rFonts w:ascii="Times New Roman" w:eastAsia="Times New Roman" w:hAnsi="Times New Roman" w:cs="Times New Roman"/>
          <w:b/>
          <w:bCs/>
          <w:color w:val="000000"/>
          <w:kern w:val="0"/>
          <w:sz w:val="36"/>
          <w:szCs w:val="36"/>
          <w:lang w:eastAsia="en-GB"/>
          <w14:ligatures w14:val="none"/>
        </w:rPr>
        <w:t xml:space="preserve"> Acquisition</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b/>
          <w:bCs/>
          <w:color w:val="000000"/>
          <w:kern w:val="0"/>
          <w:lang w:eastAsia="en-GB"/>
          <w14:ligatures w14:val="none"/>
        </w:rPr>
        <w:t>Group 10 | ALY6130 Risk Management Analytics</w:t>
      </w:r>
    </w:p>
    <w:p w:rsidR="00D81672" w:rsidRPr="00D81672" w:rsidRDefault="00D81672" w:rsidP="00D8167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D81672">
        <w:rPr>
          <w:rFonts w:ascii="Times New Roman" w:eastAsia="Times New Roman" w:hAnsi="Times New Roman" w:cs="Times New Roman"/>
          <w:b/>
          <w:bCs/>
          <w:color w:val="000000"/>
          <w:kern w:val="0"/>
          <w:sz w:val="27"/>
          <w:szCs w:val="27"/>
          <w:lang w:eastAsia="en-GB"/>
          <w14:ligatures w14:val="none"/>
        </w:rPr>
        <w:t>Our Approach</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color w:val="000000"/>
          <w:kern w:val="0"/>
          <w:lang w:eastAsia="en-GB"/>
          <w14:ligatures w14:val="none"/>
        </w:rPr>
        <w:t>We pulled the four highest-priority risks from our Module 2 and 3 work the ones that scored highest on the heat map and carried the biggest expected losses in the Monte Carlo model and built a practical response plan for each one.</w:t>
      </w:r>
    </w:p>
    <w:p w:rsidR="00D81672" w:rsidRPr="00D81672" w:rsidRDefault="00D81672" w:rsidP="00D8167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D81672">
        <w:rPr>
          <w:rFonts w:ascii="Times New Roman" w:eastAsia="Times New Roman" w:hAnsi="Times New Roman" w:cs="Times New Roman"/>
          <w:b/>
          <w:bCs/>
          <w:color w:val="000000"/>
          <w:kern w:val="0"/>
          <w:sz w:val="27"/>
          <w:szCs w:val="27"/>
          <w:lang w:eastAsia="en-GB"/>
          <w14:ligatures w14:val="none"/>
        </w:rPr>
        <w:t>Risk 1: ADC Market-Share Erosion (R-MSE)</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b/>
          <w:bCs/>
          <w:color w:val="000000"/>
          <w:kern w:val="0"/>
          <w:lang w:eastAsia="en-GB"/>
          <w14:ligatures w14:val="none"/>
        </w:rPr>
        <w:t>Score: 20 | Expected Loss: $2.66B | Strategy: Mitigation</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color w:val="000000"/>
          <w:kern w:val="0"/>
          <w:lang w:eastAsia="en-GB"/>
          <w14:ligatures w14:val="none"/>
        </w:rPr>
        <w:t>Avoidance is off the table the entire acquisition thesis is built on competing in the ADC space. Transfer does not work either since you cannot insure against a competitor winning a clinical trial. That leaves mitigation, and the window to act is narrow.</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color w:val="000000"/>
          <w:kern w:val="0"/>
          <w:lang w:eastAsia="en-GB"/>
          <w14:ligatures w14:val="none"/>
        </w:rPr>
        <w:t>The competitive landscape is moving fast. AbbVie, Merck, BMS, and Gilead are all building ADC positions right now, during the same 18–24 months that Pfizer is distracted by integration. The response is to compress that window in Pfizer's favour accelerate PADCEV's first-line label expansion, build payer relationships for pipeline candidates 18 months before approval, and lock in academic partnerships at MD Anderson, Dana-Farber, and Sloan Kettering to generate real-world evidence rivals cannot easily replicate.</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b/>
          <w:bCs/>
          <w:color w:val="000000"/>
          <w:kern w:val="0"/>
          <w:lang w:eastAsia="en-GB"/>
          <w14:ligatures w14:val="none"/>
        </w:rPr>
        <w:t>Owner:</w:t>
      </w:r>
      <w:r w:rsidRPr="00D81672">
        <w:rPr>
          <w:rFonts w:ascii="Times New Roman" w:eastAsia="Times New Roman" w:hAnsi="Times New Roman" w:cs="Times New Roman"/>
          <w:color w:val="000000"/>
          <w:kern w:val="0"/>
          <w:lang w:eastAsia="en-GB"/>
          <w14:ligatures w14:val="none"/>
        </w:rPr>
        <w:t> Chief Commercial Officer </w:t>
      </w:r>
      <w:r w:rsidRPr="00D81672">
        <w:rPr>
          <w:rFonts w:ascii="Times New Roman" w:eastAsia="Times New Roman" w:hAnsi="Times New Roman" w:cs="Times New Roman"/>
          <w:b/>
          <w:bCs/>
          <w:color w:val="000000"/>
          <w:kern w:val="0"/>
          <w:lang w:eastAsia="en-GB"/>
          <w14:ligatures w14:val="none"/>
        </w:rPr>
        <w:t>KRI trigger:</w:t>
      </w:r>
      <w:r w:rsidRPr="00D81672">
        <w:rPr>
          <w:rFonts w:ascii="Times New Roman" w:eastAsia="Times New Roman" w:hAnsi="Times New Roman" w:cs="Times New Roman"/>
          <w:color w:val="000000"/>
          <w:kern w:val="0"/>
          <w:lang w:eastAsia="en-GB"/>
          <w14:ligatures w14:val="none"/>
        </w:rPr>
        <w:t> &gt;5% annual share decline or ≥3 competitor approvals per year → escalate to ERC</w:t>
      </w:r>
    </w:p>
    <w:p w:rsidR="00D81672" w:rsidRPr="00D81672" w:rsidRDefault="00D81672" w:rsidP="00D8167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D81672">
        <w:rPr>
          <w:rFonts w:ascii="Times New Roman" w:eastAsia="Times New Roman" w:hAnsi="Times New Roman" w:cs="Times New Roman"/>
          <w:b/>
          <w:bCs/>
          <w:color w:val="000000"/>
          <w:kern w:val="0"/>
          <w:sz w:val="27"/>
          <w:szCs w:val="27"/>
          <w:lang w:eastAsia="en-GB"/>
          <w14:ligatures w14:val="none"/>
        </w:rPr>
        <w:t>Risk 2: Cybersecurity Breach During Integration (R2)</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b/>
          <w:bCs/>
          <w:color w:val="000000"/>
          <w:kern w:val="0"/>
          <w:lang w:eastAsia="en-GB"/>
          <w14:ligatures w14:val="none"/>
        </w:rPr>
        <w:t>Score: 20 | Strategy: Mitigation + Transfer</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color w:val="000000"/>
          <w:kern w:val="0"/>
          <w:lang w:eastAsia="en-GB"/>
          <w14:ligatures w14:val="none"/>
        </w:rPr>
        <w:t>Integration is not optional, so avoidance is not either. But the exposure window is time-bounded it runs from close through full system consolidation and most of it is within Pfizer's control. That makes mitigation the right primary strategy, with cyber insurance covering whatever residual risk remains.</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color w:val="000000"/>
          <w:kern w:val="0"/>
          <w:lang w:eastAsia="en-GB"/>
          <w14:ligatures w14:val="none"/>
        </w:rPr>
        <w:t xml:space="preserve">In practice this means zero-trust segmentation between Pfizer and </w:t>
      </w:r>
      <w:proofErr w:type="spellStart"/>
      <w:r w:rsidRPr="00D81672">
        <w:rPr>
          <w:rFonts w:ascii="Times New Roman" w:eastAsia="Times New Roman" w:hAnsi="Times New Roman" w:cs="Times New Roman"/>
          <w:color w:val="000000"/>
          <w:kern w:val="0"/>
          <w:lang w:eastAsia="en-GB"/>
          <w14:ligatures w14:val="none"/>
        </w:rPr>
        <w:t>Seagen</w:t>
      </w:r>
      <w:proofErr w:type="spellEnd"/>
      <w:r w:rsidRPr="00D81672">
        <w:rPr>
          <w:rFonts w:ascii="Times New Roman" w:eastAsia="Times New Roman" w:hAnsi="Times New Roman" w:cs="Times New Roman"/>
          <w:color w:val="000000"/>
          <w:kern w:val="0"/>
          <w:lang w:eastAsia="en-GB"/>
          <w14:ligatures w14:val="none"/>
        </w:rPr>
        <w:t xml:space="preserve"> environments from day one, all </w:t>
      </w:r>
      <w:proofErr w:type="spellStart"/>
      <w:r w:rsidRPr="00D81672">
        <w:rPr>
          <w:rFonts w:ascii="Times New Roman" w:eastAsia="Times New Roman" w:hAnsi="Times New Roman" w:cs="Times New Roman"/>
          <w:color w:val="000000"/>
          <w:kern w:val="0"/>
          <w:lang w:eastAsia="en-GB"/>
          <w14:ligatures w14:val="none"/>
        </w:rPr>
        <w:t>Seagen</w:t>
      </w:r>
      <w:proofErr w:type="spellEnd"/>
      <w:r w:rsidRPr="00D81672">
        <w:rPr>
          <w:rFonts w:ascii="Times New Roman" w:eastAsia="Times New Roman" w:hAnsi="Times New Roman" w:cs="Times New Roman"/>
          <w:color w:val="000000"/>
          <w:kern w:val="0"/>
          <w:lang w:eastAsia="en-GB"/>
          <w14:ligatures w14:val="none"/>
        </w:rPr>
        <w:t xml:space="preserve"> logs feeding into Pfizer's SOC within 30 days, MFA enforced across all inherited accounts within 60 days, and a tabletop exercise specifically designed around ADC IP theft during a migration event not a generic drill. Cyber insurance should explicitly cover integration-period events and third-party vendor breaches.</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b/>
          <w:bCs/>
          <w:color w:val="000000"/>
          <w:kern w:val="0"/>
          <w:lang w:eastAsia="en-GB"/>
          <w14:ligatures w14:val="none"/>
        </w:rPr>
        <w:t>Owner:</w:t>
      </w:r>
      <w:r w:rsidRPr="00D81672">
        <w:rPr>
          <w:rFonts w:ascii="Times New Roman" w:eastAsia="Times New Roman" w:hAnsi="Times New Roman" w:cs="Times New Roman"/>
          <w:color w:val="000000"/>
          <w:kern w:val="0"/>
          <w:lang w:eastAsia="en-GB"/>
          <w14:ligatures w14:val="none"/>
        </w:rPr>
        <w:t> CISO / Privacy Officer </w:t>
      </w:r>
      <w:r w:rsidRPr="00D81672">
        <w:rPr>
          <w:rFonts w:ascii="Times New Roman" w:eastAsia="Times New Roman" w:hAnsi="Times New Roman" w:cs="Times New Roman"/>
          <w:b/>
          <w:bCs/>
          <w:color w:val="000000"/>
          <w:kern w:val="0"/>
          <w:lang w:eastAsia="en-GB"/>
          <w14:ligatures w14:val="none"/>
        </w:rPr>
        <w:t>KRI trigger:</w:t>
      </w:r>
      <w:r w:rsidRPr="00D81672">
        <w:rPr>
          <w:rFonts w:ascii="Times New Roman" w:eastAsia="Times New Roman" w:hAnsi="Times New Roman" w:cs="Times New Roman"/>
          <w:color w:val="000000"/>
          <w:kern w:val="0"/>
          <w:lang w:eastAsia="en-GB"/>
          <w14:ligatures w14:val="none"/>
        </w:rPr>
        <w:t> Any critical vulnerability open &gt;30 days or unresolved ePHI anomalies → immediate escalation</w:t>
      </w:r>
    </w:p>
    <w:p w:rsidR="00D81672" w:rsidRPr="00D81672" w:rsidRDefault="00D81672" w:rsidP="00D8167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D81672">
        <w:rPr>
          <w:rFonts w:ascii="Times New Roman" w:eastAsia="Times New Roman" w:hAnsi="Times New Roman" w:cs="Times New Roman"/>
          <w:b/>
          <w:bCs/>
          <w:color w:val="000000"/>
          <w:kern w:val="0"/>
          <w:sz w:val="27"/>
          <w:szCs w:val="27"/>
          <w:lang w:eastAsia="en-GB"/>
          <w14:ligatures w14:val="none"/>
        </w:rPr>
        <w:lastRenderedPageBreak/>
        <w:t>Risk 3: Critical ADC Talent Poaching (R-006)</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b/>
          <w:bCs/>
          <w:color w:val="000000"/>
          <w:kern w:val="0"/>
          <w:lang w:eastAsia="en-GB"/>
          <w14:ligatures w14:val="none"/>
        </w:rPr>
        <w:t>Score: 16 | Expected Loss: $0.37B | Probability: 55% | Strategy: Mitigation</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color w:val="000000"/>
          <w:kern w:val="0"/>
          <w:lang w:eastAsia="en-GB"/>
          <w14:ligatures w14:val="none"/>
        </w:rPr>
        <w:t xml:space="preserve">Transfer is not applicable and acceptance is not defensible at 55% probability especially given what happened after the Array BioPharma acquisition in 2019, when Pfizer underestimated exactly this risk and paid for it. The root causes here are all addressable: cultural disruption, loss of scientific autonomy, and ambiguity about what a career at Pfizer looks like for a </w:t>
      </w:r>
      <w:proofErr w:type="spellStart"/>
      <w:r w:rsidRPr="00D81672">
        <w:rPr>
          <w:rFonts w:ascii="Times New Roman" w:eastAsia="Times New Roman" w:hAnsi="Times New Roman" w:cs="Times New Roman"/>
          <w:color w:val="000000"/>
          <w:kern w:val="0"/>
          <w:lang w:eastAsia="en-GB"/>
          <w14:ligatures w14:val="none"/>
        </w:rPr>
        <w:t>Seagen</w:t>
      </w:r>
      <w:proofErr w:type="spellEnd"/>
      <w:r w:rsidRPr="00D81672">
        <w:rPr>
          <w:rFonts w:ascii="Times New Roman" w:eastAsia="Times New Roman" w:hAnsi="Times New Roman" w:cs="Times New Roman"/>
          <w:color w:val="000000"/>
          <w:kern w:val="0"/>
          <w:lang w:eastAsia="en-GB"/>
          <w14:ligatures w14:val="none"/>
        </w:rPr>
        <w:t xml:space="preserve"> scientist.</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color w:val="000000"/>
          <w:kern w:val="0"/>
          <w:lang w:eastAsia="en-GB"/>
          <w14:ligatures w14:val="none"/>
        </w:rPr>
        <w:t xml:space="preserve">The response starts with a named Critical Role List of the 150–200 scientists whose departure would damage the deal thesis, backed by tiered retention awards vesting over 36 months. Just as importantly, </w:t>
      </w:r>
      <w:proofErr w:type="spellStart"/>
      <w:r w:rsidRPr="00D81672">
        <w:rPr>
          <w:rFonts w:ascii="Times New Roman" w:eastAsia="Times New Roman" w:hAnsi="Times New Roman" w:cs="Times New Roman"/>
          <w:color w:val="000000"/>
          <w:kern w:val="0"/>
          <w:lang w:eastAsia="en-GB"/>
          <w14:ligatures w14:val="none"/>
        </w:rPr>
        <w:t>Seagen's</w:t>
      </w:r>
      <w:proofErr w:type="spellEnd"/>
      <w:r w:rsidRPr="00D81672">
        <w:rPr>
          <w:rFonts w:ascii="Times New Roman" w:eastAsia="Times New Roman" w:hAnsi="Times New Roman" w:cs="Times New Roman"/>
          <w:color w:val="000000"/>
          <w:kern w:val="0"/>
          <w:lang w:eastAsia="en-GB"/>
          <w14:ligatures w14:val="none"/>
        </w:rPr>
        <w:t xml:space="preserve"> R&amp;D identity needs to be visibly preserved a recognisable ADC Centre of Excellence with its own leadership structure for at least 24 months. Quarterly stay interviews, not exit interviews, keep the early warning system live.</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b/>
          <w:bCs/>
          <w:color w:val="000000"/>
          <w:kern w:val="0"/>
          <w:lang w:eastAsia="en-GB"/>
          <w14:ligatures w14:val="none"/>
        </w:rPr>
        <w:t>Owner:</w:t>
      </w:r>
      <w:r w:rsidRPr="00D81672">
        <w:rPr>
          <w:rFonts w:ascii="Times New Roman" w:eastAsia="Times New Roman" w:hAnsi="Times New Roman" w:cs="Times New Roman"/>
          <w:color w:val="000000"/>
          <w:kern w:val="0"/>
          <w:lang w:eastAsia="en-GB"/>
          <w14:ligatures w14:val="none"/>
        </w:rPr>
        <w:t> CHRO / Oncology R&amp;D Leadership </w:t>
      </w:r>
      <w:r w:rsidRPr="00D81672">
        <w:rPr>
          <w:rFonts w:ascii="Times New Roman" w:eastAsia="Times New Roman" w:hAnsi="Times New Roman" w:cs="Times New Roman"/>
          <w:b/>
          <w:bCs/>
          <w:color w:val="000000"/>
          <w:kern w:val="0"/>
          <w:lang w:eastAsia="en-GB"/>
          <w14:ligatures w14:val="none"/>
        </w:rPr>
        <w:t>KRI trigger:</w:t>
      </w:r>
      <w:r w:rsidRPr="00D81672">
        <w:rPr>
          <w:rFonts w:ascii="Times New Roman" w:eastAsia="Times New Roman" w:hAnsi="Times New Roman" w:cs="Times New Roman"/>
          <w:color w:val="000000"/>
          <w:kern w:val="0"/>
          <w:lang w:eastAsia="en-GB"/>
          <w14:ligatures w14:val="none"/>
        </w:rPr>
        <w:t> Attrition &gt;5% (amber) or &gt;10% (red) → retention plan review</w:t>
      </w:r>
    </w:p>
    <w:p w:rsidR="00D81672" w:rsidRPr="00D81672" w:rsidRDefault="00D81672" w:rsidP="00D8167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D81672">
        <w:rPr>
          <w:rFonts w:ascii="Times New Roman" w:eastAsia="Times New Roman" w:hAnsi="Times New Roman" w:cs="Times New Roman"/>
          <w:b/>
          <w:bCs/>
          <w:color w:val="000000"/>
          <w:kern w:val="0"/>
          <w:sz w:val="27"/>
          <w:szCs w:val="27"/>
          <w:lang w:eastAsia="en-GB"/>
          <w14:ligatures w14:val="none"/>
        </w:rPr>
        <w:t>Risk 4: IRA Drug Pricing Exposure (R2-B)</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b/>
          <w:bCs/>
          <w:color w:val="000000"/>
          <w:kern w:val="0"/>
          <w:lang w:eastAsia="en-GB"/>
          <w14:ligatures w14:val="none"/>
        </w:rPr>
        <w:t>Score: 16 | Strategy: Acceptance + Mitigation</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color w:val="000000"/>
          <w:kern w:val="0"/>
          <w:lang w:eastAsia="en-GB"/>
          <w14:ligatures w14:val="none"/>
        </w:rPr>
        <w:t>This one is different from the others. The Third Circuit's May 2025 ruling shut down the litigation pathway CMS drug price negotiation is now a permanent feature of the market, not a policy uncertainty to wait out. ADCETRIS, approved in 2011, is likely heading into a negotiation cycle, and Pfizer needs to plan for a 15–50% net price haircut rather than hoping the policy changes.</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color w:val="000000"/>
          <w:kern w:val="0"/>
          <w:lang w:eastAsia="en-GB"/>
          <w14:ligatures w14:val="none"/>
        </w:rPr>
        <w:t>Acceptance does not mean doing nothing. The mitigation layer is about reducing how much of the portfolio is exposed pursuing new indications and paediatric extensions for ADCETRIS to extend exclusivity, shifting toward value-based payer contracts, and building the MFN Executive Order into the financial stress scenarios alongside the IRA base case. The revenue projection presented to the Board should already reflect IRA assumptions, not the pre-2022 number.</w:t>
      </w:r>
    </w:p>
    <w:p w:rsidR="00D81672" w:rsidRPr="00D81672" w:rsidRDefault="00D81672" w:rsidP="00D81672">
      <w:pPr>
        <w:spacing w:before="100" w:beforeAutospacing="1" w:after="100" w:afterAutospacing="1"/>
        <w:rPr>
          <w:rFonts w:ascii="Times New Roman" w:eastAsia="Times New Roman" w:hAnsi="Times New Roman" w:cs="Times New Roman"/>
          <w:color w:val="000000"/>
          <w:kern w:val="0"/>
          <w:lang w:eastAsia="en-GB"/>
          <w14:ligatures w14:val="none"/>
        </w:rPr>
      </w:pPr>
      <w:r w:rsidRPr="00D81672">
        <w:rPr>
          <w:rFonts w:ascii="Times New Roman" w:eastAsia="Times New Roman" w:hAnsi="Times New Roman" w:cs="Times New Roman"/>
          <w:b/>
          <w:bCs/>
          <w:color w:val="000000"/>
          <w:kern w:val="0"/>
          <w:lang w:eastAsia="en-GB"/>
          <w14:ligatures w14:val="none"/>
        </w:rPr>
        <w:t>Owner:</w:t>
      </w:r>
      <w:r w:rsidRPr="00D81672">
        <w:rPr>
          <w:rFonts w:ascii="Times New Roman" w:eastAsia="Times New Roman" w:hAnsi="Times New Roman" w:cs="Times New Roman"/>
          <w:color w:val="000000"/>
          <w:kern w:val="0"/>
          <w:lang w:eastAsia="en-GB"/>
          <w14:ligatures w14:val="none"/>
        </w:rPr>
        <w:t> CFO / Government Affairs / Commercial Oncology </w:t>
      </w:r>
      <w:r w:rsidRPr="00D81672">
        <w:rPr>
          <w:rFonts w:ascii="Times New Roman" w:eastAsia="Times New Roman" w:hAnsi="Times New Roman" w:cs="Times New Roman"/>
          <w:b/>
          <w:bCs/>
          <w:color w:val="000000"/>
          <w:kern w:val="0"/>
          <w:lang w:eastAsia="en-GB"/>
          <w14:ligatures w14:val="none"/>
        </w:rPr>
        <w:t>KRI trigger:</w:t>
      </w:r>
      <w:r w:rsidRPr="00D81672">
        <w:rPr>
          <w:rFonts w:ascii="Times New Roman" w:eastAsia="Times New Roman" w:hAnsi="Times New Roman" w:cs="Times New Roman"/>
          <w:color w:val="000000"/>
          <w:kern w:val="0"/>
          <w:lang w:eastAsia="en-GB"/>
          <w14:ligatures w14:val="none"/>
        </w:rPr>
        <w:t> CMS selection of ADCETRIS or PADCEV for negotiation → immediate Board-level review</w:t>
      </w:r>
    </w:p>
    <w:p w:rsidR="00D81672" w:rsidRPr="00D81672" w:rsidRDefault="00D81672" w:rsidP="00D81672">
      <w:pPr>
        <w:spacing w:before="100" w:beforeAutospacing="1" w:after="100" w:afterAutospacing="1"/>
        <w:outlineLvl w:val="2"/>
        <w:rPr>
          <w:rFonts w:ascii="Times New Roman" w:eastAsia="Times New Roman" w:hAnsi="Times New Roman" w:cs="Times New Roman"/>
          <w:b/>
          <w:bCs/>
          <w:color w:val="000000"/>
          <w:kern w:val="0"/>
          <w:sz w:val="27"/>
          <w:szCs w:val="27"/>
          <w:lang w:eastAsia="en-GB"/>
          <w14:ligatures w14:val="none"/>
        </w:rPr>
      </w:pPr>
      <w:r w:rsidRPr="00D81672">
        <w:rPr>
          <w:rFonts w:ascii="Times New Roman" w:eastAsia="Times New Roman" w:hAnsi="Times New Roman" w:cs="Times New Roman"/>
          <w:b/>
          <w:bCs/>
          <w:color w:val="000000"/>
          <w:kern w:val="0"/>
          <w:sz w:val="27"/>
          <w:szCs w:val="27"/>
          <w:lang w:eastAsia="en-GB"/>
          <w14:ligatures w14:val="none"/>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634"/>
        <w:gridCol w:w="1869"/>
        <w:gridCol w:w="4364"/>
      </w:tblGrid>
      <w:tr w:rsidR="00D81672" w:rsidRPr="00D81672" w:rsidTr="00D81672">
        <w:trPr>
          <w:tblHeader/>
          <w:tblCellSpacing w:w="15" w:type="dxa"/>
        </w:trPr>
        <w:tc>
          <w:tcPr>
            <w:tcW w:w="0" w:type="auto"/>
            <w:vAlign w:val="center"/>
            <w:hideMark/>
          </w:tcPr>
          <w:p w:rsidR="00D81672" w:rsidRPr="00D81672" w:rsidRDefault="00D81672" w:rsidP="00D81672">
            <w:pPr>
              <w:jc w:val="center"/>
              <w:rPr>
                <w:rFonts w:ascii="Times New Roman" w:eastAsia="Times New Roman" w:hAnsi="Times New Roman" w:cs="Times New Roman"/>
                <w:b/>
                <w:bCs/>
                <w:kern w:val="0"/>
                <w:lang w:eastAsia="en-GB"/>
                <w14:ligatures w14:val="none"/>
              </w:rPr>
            </w:pPr>
            <w:r w:rsidRPr="00D81672">
              <w:rPr>
                <w:rFonts w:ascii="Times New Roman" w:eastAsia="Times New Roman" w:hAnsi="Times New Roman" w:cs="Times New Roman"/>
                <w:b/>
                <w:bCs/>
                <w:kern w:val="0"/>
                <w:lang w:eastAsia="en-GB"/>
                <w14:ligatures w14:val="none"/>
              </w:rPr>
              <w:t>Risk</w:t>
            </w:r>
          </w:p>
        </w:tc>
        <w:tc>
          <w:tcPr>
            <w:tcW w:w="0" w:type="auto"/>
            <w:vAlign w:val="center"/>
            <w:hideMark/>
          </w:tcPr>
          <w:p w:rsidR="00D81672" w:rsidRPr="00D81672" w:rsidRDefault="00D81672" w:rsidP="00D81672">
            <w:pPr>
              <w:jc w:val="center"/>
              <w:rPr>
                <w:rFonts w:ascii="Times New Roman" w:eastAsia="Times New Roman" w:hAnsi="Times New Roman" w:cs="Times New Roman"/>
                <w:b/>
                <w:bCs/>
                <w:kern w:val="0"/>
                <w:lang w:eastAsia="en-GB"/>
                <w14:ligatures w14:val="none"/>
              </w:rPr>
            </w:pPr>
            <w:r w:rsidRPr="00D81672">
              <w:rPr>
                <w:rFonts w:ascii="Times New Roman" w:eastAsia="Times New Roman" w:hAnsi="Times New Roman" w:cs="Times New Roman"/>
                <w:b/>
                <w:bCs/>
                <w:kern w:val="0"/>
                <w:lang w:eastAsia="en-GB"/>
                <w14:ligatures w14:val="none"/>
              </w:rPr>
              <w:t>Score</w:t>
            </w:r>
          </w:p>
        </w:tc>
        <w:tc>
          <w:tcPr>
            <w:tcW w:w="0" w:type="auto"/>
            <w:vAlign w:val="center"/>
            <w:hideMark/>
          </w:tcPr>
          <w:p w:rsidR="00D81672" w:rsidRPr="00D81672" w:rsidRDefault="00D81672" w:rsidP="00D81672">
            <w:pPr>
              <w:jc w:val="center"/>
              <w:rPr>
                <w:rFonts w:ascii="Times New Roman" w:eastAsia="Times New Roman" w:hAnsi="Times New Roman" w:cs="Times New Roman"/>
                <w:b/>
                <w:bCs/>
                <w:kern w:val="0"/>
                <w:lang w:eastAsia="en-GB"/>
                <w14:ligatures w14:val="none"/>
              </w:rPr>
            </w:pPr>
            <w:r w:rsidRPr="00D81672">
              <w:rPr>
                <w:rFonts w:ascii="Times New Roman" w:eastAsia="Times New Roman" w:hAnsi="Times New Roman" w:cs="Times New Roman"/>
                <w:b/>
                <w:bCs/>
                <w:kern w:val="0"/>
                <w:lang w:eastAsia="en-GB"/>
                <w14:ligatures w14:val="none"/>
              </w:rPr>
              <w:t>Strategy</w:t>
            </w:r>
          </w:p>
        </w:tc>
        <w:tc>
          <w:tcPr>
            <w:tcW w:w="0" w:type="auto"/>
            <w:vAlign w:val="center"/>
            <w:hideMark/>
          </w:tcPr>
          <w:p w:rsidR="00D81672" w:rsidRPr="00D81672" w:rsidRDefault="00D81672" w:rsidP="00D81672">
            <w:pPr>
              <w:jc w:val="center"/>
              <w:rPr>
                <w:rFonts w:ascii="Times New Roman" w:eastAsia="Times New Roman" w:hAnsi="Times New Roman" w:cs="Times New Roman"/>
                <w:b/>
                <w:bCs/>
                <w:kern w:val="0"/>
                <w:lang w:eastAsia="en-GB"/>
                <w14:ligatures w14:val="none"/>
              </w:rPr>
            </w:pPr>
            <w:r w:rsidRPr="00D81672">
              <w:rPr>
                <w:rFonts w:ascii="Times New Roman" w:eastAsia="Times New Roman" w:hAnsi="Times New Roman" w:cs="Times New Roman"/>
                <w:b/>
                <w:bCs/>
                <w:kern w:val="0"/>
                <w:lang w:eastAsia="en-GB"/>
                <w14:ligatures w14:val="none"/>
              </w:rPr>
              <w:t>Key Action</w:t>
            </w:r>
          </w:p>
        </w:tc>
      </w:tr>
      <w:tr w:rsidR="00D81672" w:rsidRPr="00D81672" w:rsidTr="00D81672">
        <w:trPr>
          <w:tblCellSpacing w:w="15" w:type="dxa"/>
        </w:trPr>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ADC Market-Share Erosion</w:t>
            </w:r>
          </w:p>
        </w:tc>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20</w:t>
            </w:r>
          </w:p>
        </w:tc>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Mitigation</w:t>
            </w:r>
          </w:p>
        </w:tc>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Accelerate launches; lock in payer &amp; academic partnerships</w:t>
            </w:r>
          </w:p>
        </w:tc>
      </w:tr>
      <w:tr w:rsidR="00D81672" w:rsidRPr="00D81672" w:rsidTr="00D81672">
        <w:trPr>
          <w:tblCellSpacing w:w="15" w:type="dxa"/>
        </w:trPr>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Cybersecurity Breach</w:t>
            </w:r>
          </w:p>
        </w:tc>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20</w:t>
            </w:r>
          </w:p>
        </w:tc>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Mitigation + Transfer</w:t>
            </w:r>
          </w:p>
        </w:tc>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Zero-trust from day one; cyber insurance for residual risk</w:t>
            </w:r>
          </w:p>
        </w:tc>
      </w:tr>
      <w:tr w:rsidR="00D81672" w:rsidRPr="00D81672" w:rsidTr="00D81672">
        <w:trPr>
          <w:tblCellSpacing w:w="15" w:type="dxa"/>
        </w:trPr>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lastRenderedPageBreak/>
              <w:t>ADC Talent Poaching</w:t>
            </w:r>
          </w:p>
        </w:tc>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16</w:t>
            </w:r>
          </w:p>
        </w:tc>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Mitigation</w:t>
            </w:r>
          </w:p>
        </w:tc>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 xml:space="preserve">Critical Role List; 36-month retention awards; preserve </w:t>
            </w:r>
            <w:proofErr w:type="spellStart"/>
            <w:r w:rsidRPr="00D81672">
              <w:rPr>
                <w:rFonts w:ascii="Times New Roman" w:eastAsia="Times New Roman" w:hAnsi="Times New Roman" w:cs="Times New Roman"/>
                <w:kern w:val="0"/>
                <w:lang w:eastAsia="en-GB"/>
                <w14:ligatures w14:val="none"/>
              </w:rPr>
              <w:t>Seagen</w:t>
            </w:r>
            <w:proofErr w:type="spellEnd"/>
            <w:r w:rsidRPr="00D81672">
              <w:rPr>
                <w:rFonts w:ascii="Times New Roman" w:eastAsia="Times New Roman" w:hAnsi="Times New Roman" w:cs="Times New Roman"/>
                <w:kern w:val="0"/>
                <w:lang w:eastAsia="en-GB"/>
                <w14:ligatures w14:val="none"/>
              </w:rPr>
              <w:t xml:space="preserve"> identity</w:t>
            </w:r>
          </w:p>
        </w:tc>
      </w:tr>
      <w:tr w:rsidR="00D81672" w:rsidRPr="00D81672" w:rsidTr="00D81672">
        <w:trPr>
          <w:tblCellSpacing w:w="15" w:type="dxa"/>
        </w:trPr>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IRA Pricing Exposure</w:t>
            </w:r>
          </w:p>
        </w:tc>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16</w:t>
            </w:r>
          </w:p>
        </w:tc>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Acceptance + Mitigation</w:t>
            </w:r>
          </w:p>
        </w:tc>
        <w:tc>
          <w:tcPr>
            <w:tcW w:w="0" w:type="auto"/>
            <w:vAlign w:val="center"/>
            <w:hideMark/>
          </w:tcPr>
          <w:p w:rsidR="00D81672" w:rsidRPr="00D81672" w:rsidRDefault="00D81672" w:rsidP="00D81672">
            <w:pPr>
              <w:rPr>
                <w:rFonts w:ascii="Times New Roman" w:eastAsia="Times New Roman" w:hAnsi="Times New Roman" w:cs="Times New Roman"/>
                <w:kern w:val="0"/>
                <w:lang w:eastAsia="en-GB"/>
                <w14:ligatures w14:val="none"/>
              </w:rPr>
            </w:pPr>
            <w:r w:rsidRPr="00D81672">
              <w:rPr>
                <w:rFonts w:ascii="Times New Roman" w:eastAsia="Times New Roman" w:hAnsi="Times New Roman" w:cs="Times New Roman"/>
                <w:kern w:val="0"/>
                <w:lang w:eastAsia="en-GB"/>
                <w14:ligatures w14:val="none"/>
              </w:rPr>
              <w:t>Rebuild revenue model with IRA haircut; lifecycle management</w:t>
            </w:r>
          </w:p>
        </w:tc>
      </w:tr>
    </w:tbl>
    <w:p w:rsidR="00C07A71" w:rsidRDefault="00C07A71"/>
    <w:sectPr w:rsidR="00C07A71" w:rsidSect="00710B35">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672"/>
    <w:rsid w:val="00710B35"/>
    <w:rsid w:val="00C07A71"/>
    <w:rsid w:val="00D816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3EB3E"/>
  <w15:chartTrackingRefBased/>
  <w15:docId w15:val="{27D2357A-AD9A-624D-9722-608A00CD3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8167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D81672"/>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1672"/>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D81672"/>
    <w:rPr>
      <w:rFonts w:ascii="Times New Roman" w:eastAsia="Times New Roman" w:hAnsi="Times New Roman" w:cs="Times New Roman"/>
      <w:b/>
      <w:bCs/>
      <w:kern w:val="0"/>
      <w:sz w:val="27"/>
      <w:szCs w:val="27"/>
      <w:lang w:eastAsia="en-GB"/>
      <w14:ligatures w14:val="none"/>
    </w:rPr>
  </w:style>
  <w:style w:type="paragraph" w:customStyle="1" w:styleId="font-claude-response-body">
    <w:name w:val="font-claude-response-body"/>
    <w:basedOn w:val="Normal"/>
    <w:rsid w:val="00D8167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81672"/>
    <w:rPr>
      <w:b/>
      <w:bCs/>
    </w:rPr>
  </w:style>
  <w:style w:type="character" w:customStyle="1" w:styleId="apple-converted-space">
    <w:name w:val="apple-converted-space"/>
    <w:basedOn w:val="DefaultParagraphFont"/>
    <w:rsid w:val="00D81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6389678">
      <w:bodyDiv w:val="1"/>
      <w:marLeft w:val="0"/>
      <w:marRight w:val="0"/>
      <w:marTop w:val="0"/>
      <w:marBottom w:val="0"/>
      <w:divBdr>
        <w:top w:val="none" w:sz="0" w:space="0" w:color="auto"/>
        <w:left w:val="none" w:sz="0" w:space="0" w:color="auto"/>
        <w:bottom w:val="none" w:sz="0" w:space="0" w:color="auto"/>
        <w:right w:val="none" w:sz="0" w:space="0" w:color="auto"/>
      </w:divBdr>
      <w:divsChild>
        <w:div w:id="9333158">
          <w:marLeft w:val="0"/>
          <w:marRight w:val="0"/>
          <w:marTop w:val="0"/>
          <w:marBottom w:val="0"/>
          <w:divBdr>
            <w:top w:val="none" w:sz="0" w:space="0" w:color="auto"/>
            <w:left w:val="none" w:sz="0" w:space="0" w:color="auto"/>
            <w:bottom w:val="none" w:sz="0" w:space="0" w:color="auto"/>
            <w:right w:val="none" w:sz="0" w:space="0" w:color="auto"/>
          </w:divBdr>
          <w:divsChild>
            <w:div w:id="65617901">
              <w:marLeft w:val="0"/>
              <w:marRight w:val="0"/>
              <w:marTop w:val="0"/>
              <w:marBottom w:val="0"/>
              <w:divBdr>
                <w:top w:val="none" w:sz="0" w:space="0" w:color="auto"/>
                <w:left w:val="none" w:sz="0" w:space="0" w:color="auto"/>
                <w:bottom w:val="none" w:sz="0" w:space="0" w:color="auto"/>
                <w:right w:val="none" w:sz="0" w:space="0" w:color="auto"/>
              </w:divBdr>
              <w:divsChild>
                <w:div w:id="1248423577">
                  <w:marLeft w:val="0"/>
                  <w:marRight w:val="0"/>
                  <w:marTop w:val="0"/>
                  <w:marBottom w:val="0"/>
                  <w:divBdr>
                    <w:top w:val="none" w:sz="0" w:space="0" w:color="auto"/>
                    <w:left w:val="none" w:sz="0" w:space="0" w:color="auto"/>
                    <w:bottom w:val="none" w:sz="0" w:space="0" w:color="auto"/>
                    <w:right w:val="none" w:sz="0" w:space="0" w:color="auto"/>
                  </w:divBdr>
                  <w:divsChild>
                    <w:div w:id="882642183">
                      <w:marLeft w:val="0"/>
                      <w:marRight w:val="0"/>
                      <w:marTop w:val="0"/>
                      <w:marBottom w:val="0"/>
                      <w:divBdr>
                        <w:top w:val="none" w:sz="0" w:space="0" w:color="auto"/>
                        <w:left w:val="none" w:sz="0" w:space="0" w:color="auto"/>
                        <w:bottom w:val="none" w:sz="0" w:space="0" w:color="auto"/>
                        <w:right w:val="none" w:sz="0" w:space="0" w:color="auto"/>
                      </w:divBdr>
                      <w:divsChild>
                        <w:div w:id="680932694">
                          <w:marLeft w:val="0"/>
                          <w:marRight w:val="0"/>
                          <w:marTop w:val="0"/>
                          <w:marBottom w:val="0"/>
                          <w:divBdr>
                            <w:top w:val="none" w:sz="0" w:space="0" w:color="auto"/>
                            <w:left w:val="none" w:sz="0" w:space="0" w:color="auto"/>
                            <w:bottom w:val="none" w:sz="0" w:space="0" w:color="auto"/>
                            <w:right w:val="none" w:sz="0" w:space="0" w:color="auto"/>
                          </w:divBdr>
                          <w:divsChild>
                            <w:div w:id="84501812">
                              <w:marLeft w:val="0"/>
                              <w:marRight w:val="0"/>
                              <w:marTop w:val="0"/>
                              <w:marBottom w:val="0"/>
                              <w:divBdr>
                                <w:top w:val="none" w:sz="0" w:space="0" w:color="auto"/>
                                <w:left w:val="none" w:sz="0" w:space="0" w:color="auto"/>
                                <w:bottom w:val="none" w:sz="0" w:space="0" w:color="auto"/>
                                <w:right w:val="none" w:sz="0" w:space="0" w:color="auto"/>
                              </w:divBdr>
                              <w:divsChild>
                                <w:div w:id="1514416361">
                                  <w:marLeft w:val="0"/>
                                  <w:marRight w:val="0"/>
                                  <w:marTop w:val="0"/>
                                  <w:marBottom w:val="0"/>
                                  <w:divBdr>
                                    <w:top w:val="none" w:sz="0" w:space="0" w:color="auto"/>
                                    <w:left w:val="none" w:sz="0" w:space="0" w:color="auto"/>
                                    <w:bottom w:val="none" w:sz="0" w:space="0" w:color="auto"/>
                                    <w:right w:val="none" w:sz="0" w:space="0" w:color="auto"/>
                                  </w:divBdr>
                                  <w:divsChild>
                                    <w:div w:id="1997489052">
                                      <w:marLeft w:val="0"/>
                                      <w:marRight w:val="0"/>
                                      <w:marTop w:val="0"/>
                                      <w:marBottom w:val="0"/>
                                      <w:divBdr>
                                        <w:top w:val="none" w:sz="0" w:space="0" w:color="auto"/>
                                        <w:left w:val="none" w:sz="0" w:space="0" w:color="auto"/>
                                        <w:bottom w:val="none" w:sz="0" w:space="0" w:color="auto"/>
                                        <w:right w:val="none" w:sz="0" w:space="0" w:color="auto"/>
                                      </w:divBdr>
                                      <w:divsChild>
                                        <w:div w:id="991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732</Words>
  <Characters>4174</Characters>
  <Application>Microsoft Office Word</Application>
  <DocSecurity>0</DocSecurity>
  <Lines>34</Lines>
  <Paragraphs>9</Paragraphs>
  <ScaleCrop>false</ScaleCrop>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2026-06-19T22:53:00Z</dcterms:created>
  <dcterms:modified xsi:type="dcterms:W3CDTF">2026-06-19T22:56:00Z</dcterms:modified>
</cp:coreProperties>
</file>