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2FEF1" w14:textId="77EEABA9" w:rsidR="004E0225" w:rsidRPr="00BC4366" w:rsidRDefault="004E0225">
      <w:pPr>
        <w:rPr>
          <w:rFonts w:ascii="Georgia" w:hAnsi="Georgia"/>
          <w:b/>
          <w:color w:val="C00000"/>
          <w:sz w:val="32"/>
          <w:szCs w:val="32"/>
        </w:rPr>
      </w:pPr>
      <w:r w:rsidRPr="00BC4366">
        <w:rPr>
          <w:rFonts w:ascii="Georgia" w:hAnsi="Georgia"/>
          <w:b/>
          <w:color w:val="C00000"/>
          <w:sz w:val="32"/>
          <w:szCs w:val="32"/>
        </w:rPr>
        <w:t>SWOT Analysis</w:t>
      </w:r>
    </w:p>
    <w:p w14:paraId="75CC3D21" w14:textId="77777777" w:rsidR="00C0460D" w:rsidRPr="00BC4366" w:rsidRDefault="00C0460D" w:rsidP="00C0460D">
      <w:pPr>
        <w:spacing w:after="80"/>
        <w:rPr>
          <w:rFonts w:ascii="Georgia" w:eastAsia="Arial" w:hAnsi="Georgia" w:cs="Arial"/>
          <w:lang w:val="en-PH"/>
        </w:rPr>
      </w:pPr>
      <w:r w:rsidRPr="00BC4366">
        <w:rPr>
          <w:rFonts w:ascii="Georgia" w:hAnsi="Georgia"/>
          <w:b/>
          <w:color w:val="C00000"/>
          <w:sz w:val="32"/>
          <w:szCs w:val="32"/>
        </w:rPr>
        <w:t xml:space="preserve">Industry: </w:t>
      </w:r>
      <w:r w:rsidRPr="00BC4366">
        <w:rPr>
          <w:rFonts w:ascii="Georgia" w:eastAsia="Arial" w:hAnsi="Georgia" w:cs="Arial"/>
          <w:b/>
          <w:bCs/>
          <w:color w:val="2E5395"/>
          <w:sz w:val="28"/>
          <w:szCs w:val="28"/>
          <w:lang w:val="en-PH"/>
        </w:rPr>
        <w:t>Pfizer Inc. (NYSE: PFE) — Acquisition of Seagen Inc.</w:t>
      </w:r>
    </w:p>
    <w:p w14:paraId="1A3C73A6" w14:textId="4843A383" w:rsidR="00C0460D" w:rsidRPr="00BC4366" w:rsidRDefault="00C0460D" w:rsidP="00C0460D">
      <w:pPr>
        <w:spacing w:after="320" w:line="240" w:lineRule="auto"/>
        <w:rPr>
          <w:rFonts w:ascii="Georgia" w:eastAsia="Arial" w:hAnsi="Georgia" w:cs="Arial"/>
          <w:lang w:val="en-PH"/>
        </w:rPr>
      </w:pPr>
      <w:r w:rsidRPr="00C0460D">
        <w:rPr>
          <w:rFonts w:ascii="Georgia" w:eastAsia="Arial" w:hAnsi="Georgia" w:cs="Arial"/>
          <w:i/>
          <w:iCs/>
          <w:color w:val="595959"/>
          <w:lang w:val="en-PH"/>
        </w:rPr>
        <w:t>Industry: Health (Pharmaceuticals &amp; Oncology)</w:t>
      </w:r>
    </w:p>
    <w:p w14:paraId="5A939B11" w14:textId="7B36579E" w:rsidR="00C0460D" w:rsidRPr="00720BB2" w:rsidRDefault="00C0460D">
      <w:pPr>
        <w:rPr>
          <w:rFonts w:ascii="Georgia" w:hAnsi="Georgia" w:cs="Calibri"/>
          <w:i/>
          <w:iCs/>
        </w:rPr>
      </w:pPr>
      <w:r w:rsidRPr="00720BB2">
        <w:rPr>
          <w:rFonts w:ascii="Georgia" w:hAnsi="Georgia" w:cs="Calibri"/>
          <w:i/>
          <w:iCs/>
        </w:rPr>
        <w:t>Group 10 - Team Members</w:t>
      </w:r>
      <w:r w:rsidR="00720BB2">
        <w:rPr>
          <w:rFonts w:ascii="Georgia" w:hAnsi="Georgia" w:cs="Calibri"/>
          <w:i/>
          <w:iCs/>
        </w:rPr>
        <w:t>: Amaka Mary Nduka, Dike Liu, Princess Mariama Ramboyong, Stella Kafui Sabuki</w:t>
      </w:r>
    </w:p>
    <w:p w14:paraId="11789951" w14:textId="7EBDBCC8" w:rsidR="00C0460D" w:rsidRDefault="00C0460D" w:rsidP="00D85B19">
      <w:pPr>
        <w:pStyle w:val="ListParagraph"/>
        <w:numPr>
          <w:ilvl w:val="0"/>
          <w:numId w:val="1"/>
        </w:numPr>
        <w:spacing w:after="0"/>
        <w:rPr>
          <w:rFonts w:ascii="Georgia" w:hAnsi="Georgia"/>
          <w:b/>
          <w:bCs/>
          <w:sz w:val="32"/>
          <w:szCs w:val="32"/>
        </w:rPr>
      </w:pPr>
      <w:r w:rsidRPr="00BC4366">
        <w:rPr>
          <w:rFonts w:ascii="Georgia" w:hAnsi="Georgia"/>
          <w:b/>
          <w:bCs/>
          <w:sz w:val="32"/>
          <w:szCs w:val="32"/>
        </w:rPr>
        <w:t>Overview</w:t>
      </w:r>
    </w:p>
    <w:p w14:paraId="50004B87" w14:textId="3B1F0DED" w:rsidR="00D85B19" w:rsidRPr="00D85B19" w:rsidRDefault="00D85B19" w:rsidP="00D85B19">
      <w:pPr>
        <w:ind w:left="360"/>
        <w:rPr>
          <w:rFonts w:ascii="Georgia" w:hAnsi="Georgia"/>
          <w:i/>
          <w:iCs/>
          <w:sz w:val="18"/>
          <w:szCs w:val="18"/>
        </w:rPr>
      </w:pPr>
      <w:r w:rsidRPr="00D85B19">
        <w:rPr>
          <w:rFonts w:ascii="Georgia" w:hAnsi="Georgia"/>
          <w:i/>
          <w:iCs/>
          <w:sz w:val="18"/>
          <w:szCs w:val="18"/>
        </w:rPr>
        <w:t>Prepared by Princess</w:t>
      </w:r>
    </w:p>
    <w:p w14:paraId="1E0B9480" w14:textId="59F241B7" w:rsidR="00C0460D" w:rsidRPr="00BC4366" w:rsidRDefault="00C0460D" w:rsidP="00C0460D">
      <w:pPr>
        <w:ind w:left="360"/>
        <w:rPr>
          <w:rFonts w:ascii="Georgia" w:hAnsi="Georgia"/>
        </w:rPr>
      </w:pPr>
      <w:r w:rsidRPr="00BC4366">
        <w:rPr>
          <w:rFonts w:ascii="Georgia" w:hAnsi="Georgia"/>
        </w:rPr>
        <w:t>Pfizer Inc. closed its $43 billion acquisition of Seagen Inc. in December 2023, the biggest biopharmaceutical deal since AbbVie Inc.’s purchase of Allergan PLC in 2019. The deal doubled Pfizer's oncology drug portfolio to 60 projects a</w:t>
      </w:r>
      <w:r w:rsidR="00BC4366" w:rsidRPr="00BC4366">
        <w:rPr>
          <w:rFonts w:ascii="Georgia" w:hAnsi="Georgia"/>
        </w:rPr>
        <w:t>nd added</w:t>
      </w:r>
      <w:r w:rsidRPr="00BC4366">
        <w:rPr>
          <w:rFonts w:ascii="Georgia" w:hAnsi="Georgia"/>
        </w:rPr>
        <w:t xml:space="preserve"> four </w:t>
      </w:r>
      <w:r w:rsidR="00BC4366" w:rsidRPr="00BC4366">
        <w:rPr>
          <w:rFonts w:ascii="Georgia" w:hAnsi="Georgia"/>
        </w:rPr>
        <w:t xml:space="preserve">more </w:t>
      </w:r>
      <w:r w:rsidRPr="00BC4366">
        <w:rPr>
          <w:rFonts w:ascii="Georgia" w:hAnsi="Georgia"/>
        </w:rPr>
        <w:t xml:space="preserve">marketed drugs for antibodies-drug conjugates and targeted oncology </w:t>
      </w:r>
      <w:r w:rsidR="00BC4366" w:rsidRPr="00BC4366">
        <w:rPr>
          <w:rFonts w:ascii="Georgia" w:hAnsi="Georgia"/>
        </w:rPr>
        <w:t>medicinies</w:t>
      </w:r>
      <w:r w:rsidRPr="00BC4366">
        <w:rPr>
          <w:rFonts w:ascii="Georgia" w:hAnsi="Georgia"/>
        </w:rPr>
        <w:t xml:space="preserve"> such as ADCETRIS, PADCEV, TIVDAK, and TUKYSA. Pfizer estimates that the Seagen deal will contribute upwards of $10 billion of risk-adjusted revenue for the company by 2030, with cost synergies reaching approximately $1 billion annually by 2026.</w:t>
      </w:r>
    </w:p>
    <w:p w14:paraId="449AFF15" w14:textId="696E258A" w:rsidR="00BC4366" w:rsidRDefault="00C0460D" w:rsidP="00BC4366">
      <w:pPr>
        <w:ind w:left="360"/>
        <w:rPr>
          <w:rFonts w:ascii="Georgia" w:hAnsi="Georgia"/>
        </w:rPr>
      </w:pPr>
      <w:r w:rsidRPr="00BC4366">
        <w:rPr>
          <w:rFonts w:ascii="Georgia" w:hAnsi="Georgia"/>
        </w:rPr>
        <w:t>The following document offers a S.W.O.T. analysis of the acquisition through an Enterprise Risk Management (ERM) framework. Risks from people, process, technical, and all other dimensions of operations will be identified</w:t>
      </w:r>
      <w:r w:rsidR="00BC4366" w:rsidRPr="00BC4366">
        <w:rPr>
          <w:rFonts w:ascii="Georgia" w:hAnsi="Georgia"/>
        </w:rPr>
        <w:t xml:space="preserve"> by our team which will be </w:t>
      </w:r>
      <w:r w:rsidRPr="00BC4366">
        <w:rPr>
          <w:rFonts w:ascii="Georgia" w:hAnsi="Georgia"/>
        </w:rPr>
        <w:t>followed by translation of the risks into KRIs, contributing factors, and initial controls. Technical risk and information security risk are explicitly considered owing to their critical nature given the integration of the clinical, manufacturing, and ePHI environment.</w:t>
      </w:r>
    </w:p>
    <w:p w14:paraId="41A2FC1E" w14:textId="77777777" w:rsidR="00BC4366" w:rsidRPr="00BC4366" w:rsidRDefault="00BC4366" w:rsidP="00BC4366">
      <w:pPr>
        <w:ind w:left="360"/>
        <w:rPr>
          <w:rFonts w:ascii="Georgia" w:hAnsi="Georgia"/>
        </w:rPr>
      </w:pPr>
    </w:p>
    <w:p w14:paraId="48B93D75" w14:textId="1B62077A" w:rsidR="00BC4366" w:rsidRDefault="00C0460D" w:rsidP="00D85B19">
      <w:pPr>
        <w:pStyle w:val="ListParagraph"/>
        <w:numPr>
          <w:ilvl w:val="0"/>
          <w:numId w:val="1"/>
        </w:numPr>
        <w:spacing w:after="0"/>
        <w:rPr>
          <w:rFonts w:ascii="Georgia" w:hAnsi="Georgia"/>
          <w:b/>
          <w:bCs/>
          <w:sz w:val="32"/>
          <w:szCs w:val="32"/>
        </w:rPr>
      </w:pPr>
      <w:r w:rsidRPr="00BC4366">
        <w:rPr>
          <w:rFonts w:ascii="Georgia" w:hAnsi="Georgia"/>
          <w:b/>
          <w:bCs/>
          <w:sz w:val="32"/>
          <w:szCs w:val="32"/>
        </w:rPr>
        <w:t>SWOT ANALYSIS Matrix</w:t>
      </w:r>
    </w:p>
    <w:p w14:paraId="1AC58E24" w14:textId="0E1AD9A8" w:rsidR="00D85B19" w:rsidRPr="00D85B19" w:rsidRDefault="00D85B19" w:rsidP="00D85B19">
      <w:pPr>
        <w:ind w:left="360"/>
        <w:rPr>
          <w:rFonts w:ascii="Georgia" w:hAnsi="Georgia"/>
          <w:i/>
          <w:iCs/>
          <w:sz w:val="18"/>
          <w:szCs w:val="18"/>
        </w:rPr>
      </w:pPr>
      <w:r w:rsidRPr="00D85B19">
        <w:rPr>
          <w:rFonts w:ascii="Georgia" w:hAnsi="Georgia"/>
          <w:i/>
          <w:iCs/>
          <w:sz w:val="18"/>
          <w:szCs w:val="18"/>
        </w:rPr>
        <w:t>Prepared by Princess</w:t>
      </w:r>
    </w:p>
    <w:p w14:paraId="5019DC18" w14:textId="6B43A8D6" w:rsidR="00BC4366" w:rsidRPr="00BC4366" w:rsidRDefault="00BC4366" w:rsidP="00BC4366">
      <w:pPr>
        <w:ind w:left="360"/>
        <w:rPr>
          <w:rFonts w:ascii="Georgia" w:hAnsi="Georgia"/>
          <w:sz w:val="32"/>
          <w:szCs w:val="32"/>
        </w:rPr>
      </w:pPr>
      <w:r w:rsidRPr="00BC4366">
        <w:rPr>
          <w:rFonts w:ascii="Georgia" w:hAnsi="Georgia"/>
        </w:rPr>
        <w:t xml:space="preserve">The following matrix highlights three examples </w:t>
      </w:r>
      <w:r>
        <w:rPr>
          <w:rFonts w:ascii="Georgia" w:hAnsi="Georgia"/>
        </w:rPr>
        <w:t>for</w:t>
      </w:r>
      <w:r w:rsidRPr="00BC4366">
        <w:rPr>
          <w:rFonts w:ascii="Georgia" w:hAnsi="Georgia"/>
        </w:rPr>
        <w:t xml:space="preserve"> each quadrant, with Strengths and Weaknesses being internal factors and Opportunities and Threats being external factors. In the Threats quadrant, it is important to mention the specific competition that Pfizer is facing in the ADCs arms race and also in the U.S. oncology market post-IRA, where Pfizer did not have much experience before.</w:t>
      </w:r>
    </w:p>
    <w:tbl>
      <w:tblPr>
        <w:tblStyle w:val="TableGrid"/>
        <w:tblW w:w="0" w:type="auto"/>
        <w:tblLook w:val="04A0" w:firstRow="1" w:lastRow="0" w:firstColumn="1" w:lastColumn="0" w:noHBand="0" w:noVBand="1"/>
      </w:tblPr>
      <w:tblGrid>
        <w:gridCol w:w="6475"/>
        <w:gridCol w:w="6475"/>
      </w:tblGrid>
      <w:tr w:rsidR="004E0225" w:rsidRPr="00BC4366" w14:paraId="531B8CE5" w14:textId="77777777" w:rsidTr="004E0225">
        <w:trPr>
          <w:trHeight w:val="3970"/>
        </w:trPr>
        <w:tc>
          <w:tcPr>
            <w:tcW w:w="6475" w:type="dxa"/>
          </w:tcPr>
          <w:p w14:paraId="750BC3D0" w14:textId="199CEDEC" w:rsidR="004E0225" w:rsidRDefault="004E0225">
            <w:pPr>
              <w:rPr>
                <w:rFonts w:ascii="Georgia" w:hAnsi="Georgia"/>
                <w:b/>
                <w:color w:val="C00000"/>
                <w:sz w:val="32"/>
                <w:szCs w:val="32"/>
              </w:rPr>
            </w:pPr>
            <w:r w:rsidRPr="00BC4366">
              <w:rPr>
                <w:rFonts w:ascii="Georgia" w:hAnsi="Georgia"/>
                <w:b/>
                <w:color w:val="C00000"/>
                <w:sz w:val="32"/>
                <w:szCs w:val="32"/>
              </w:rPr>
              <w:lastRenderedPageBreak/>
              <w:t>Strengths</w:t>
            </w:r>
          </w:p>
          <w:p w14:paraId="3460464F" w14:textId="152D09F7" w:rsidR="00D85B19" w:rsidRPr="00D85B19" w:rsidRDefault="00D85B19">
            <w:pPr>
              <w:rPr>
                <w:rFonts w:ascii="Georgia" w:hAnsi="Georgia"/>
                <w:bCs/>
                <w:i/>
                <w:iCs/>
                <w:color w:val="C00000"/>
                <w:sz w:val="18"/>
                <w:szCs w:val="18"/>
              </w:rPr>
            </w:pPr>
            <w:r w:rsidRPr="00D85B19">
              <w:rPr>
                <w:rFonts w:ascii="Georgia" w:hAnsi="Georgia"/>
                <w:bCs/>
                <w:i/>
                <w:iCs/>
                <w:color w:val="C00000"/>
                <w:sz w:val="18"/>
                <w:szCs w:val="18"/>
              </w:rPr>
              <w:t>Prepared by Princess</w:t>
            </w:r>
          </w:p>
          <w:p w14:paraId="00CA8D7D" w14:textId="75A2B0F3" w:rsidR="00BC4366" w:rsidRDefault="00BC4366">
            <w:pPr>
              <w:rPr>
                <w:rFonts w:ascii="Georgia" w:hAnsi="Georgia"/>
                <w:b/>
                <w:color w:val="C00000"/>
                <w:sz w:val="32"/>
                <w:szCs w:val="32"/>
              </w:rPr>
            </w:pPr>
          </w:p>
          <w:p w14:paraId="1D479425" w14:textId="3D83BEC1" w:rsidR="00BC4366" w:rsidRDefault="00BC4366" w:rsidP="00BC4366">
            <w:pPr>
              <w:pStyle w:val="ListParagraph"/>
              <w:numPr>
                <w:ilvl w:val="0"/>
                <w:numId w:val="2"/>
              </w:numPr>
              <w:spacing w:after="160" w:line="259" w:lineRule="auto"/>
              <w:rPr>
                <w:rFonts w:ascii="Georgia" w:hAnsi="Georgia"/>
              </w:rPr>
            </w:pPr>
            <w:r w:rsidRPr="00BC4366">
              <w:rPr>
                <w:rFonts w:ascii="Georgia" w:hAnsi="Georgia"/>
                <w:b/>
                <w:bCs/>
              </w:rPr>
              <w:t>Capital strength:</w:t>
            </w:r>
            <w:r w:rsidRPr="00BC4366">
              <w:rPr>
                <w:rFonts w:ascii="Georgia" w:hAnsi="Georgia"/>
              </w:rPr>
              <w:t xml:space="preserve"> Pfizer is one of the largest pharmaceutical companies in the world. In 2023 alone, the company made revenues worth $58.5 billion and had significant financial resources </w:t>
            </w:r>
            <w:r>
              <w:rPr>
                <w:rFonts w:ascii="Georgia" w:hAnsi="Georgia"/>
              </w:rPr>
              <w:t xml:space="preserve">as a result of </w:t>
            </w:r>
            <w:r w:rsidRPr="00BC4366">
              <w:rPr>
                <w:rFonts w:ascii="Georgia" w:hAnsi="Georgia"/>
              </w:rPr>
              <w:t xml:space="preserve">the previous COVID era. </w:t>
            </w:r>
            <w:r>
              <w:rPr>
                <w:rFonts w:ascii="Georgia" w:hAnsi="Georgia"/>
              </w:rPr>
              <w:t>This strength greatly</w:t>
            </w:r>
            <w:r w:rsidRPr="00BC4366">
              <w:rPr>
                <w:rFonts w:ascii="Georgia" w:hAnsi="Georgia"/>
              </w:rPr>
              <w:t xml:space="preserve"> </w:t>
            </w:r>
            <w:r>
              <w:rPr>
                <w:rFonts w:ascii="Georgia" w:hAnsi="Georgia"/>
              </w:rPr>
              <w:t xml:space="preserve">helped the company to </w:t>
            </w:r>
            <w:r w:rsidRPr="00BC4366">
              <w:rPr>
                <w:rFonts w:ascii="Georgia" w:hAnsi="Georgia"/>
              </w:rPr>
              <w:t xml:space="preserve">pay $43 billion </w:t>
            </w:r>
            <w:r>
              <w:rPr>
                <w:rFonts w:ascii="Georgia" w:hAnsi="Georgia"/>
              </w:rPr>
              <w:t xml:space="preserve">in </w:t>
            </w:r>
            <w:r w:rsidRPr="00BC4366">
              <w:rPr>
                <w:rFonts w:ascii="Georgia" w:hAnsi="Georgia"/>
              </w:rPr>
              <w:t>acquiring Seagen.</w:t>
            </w:r>
          </w:p>
          <w:p w14:paraId="2E5AA682" w14:textId="77777777" w:rsidR="00BC4366" w:rsidRDefault="00BC4366" w:rsidP="00BC4366">
            <w:pPr>
              <w:pStyle w:val="ListParagraph"/>
              <w:numPr>
                <w:ilvl w:val="0"/>
                <w:numId w:val="2"/>
              </w:numPr>
              <w:spacing w:after="160" w:line="259" w:lineRule="auto"/>
              <w:rPr>
                <w:rFonts w:ascii="Georgia" w:hAnsi="Georgia"/>
              </w:rPr>
            </w:pPr>
            <w:r w:rsidRPr="00BC4366">
              <w:rPr>
                <w:rFonts w:ascii="Georgia" w:hAnsi="Georgia"/>
                <w:b/>
                <w:bCs/>
              </w:rPr>
              <w:t>Good commercial infrastructure</w:t>
            </w:r>
            <w:r w:rsidRPr="00BC4366">
              <w:rPr>
                <w:rFonts w:ascii="Georgia" w:hAnsi="Georgia"/>
              </w:rPr>
              <w:t xml:space="preserve">: </w:t>
            </w:r>
            <w:r>
              <w:rPr>
                <w:rFonts w:ascii="Georgia" w:hAnsi="Georgia"/>
              </w:rPr>
              <w:t>In terms of</w:t>
            </w:r>
            <w:r w:rsidRPr="00BC4366">
              <w:rPr>
                <w:rFonts w:ascii="Georgia" w:hAnsi="Georgia"/>
              </w:rPr>
              <w:t xml:space="preserve"> the established sales force, relationships with regulatory authorities, and commercial presence in over 180 countries, Pfizer's global network will be able to expand Seagen's four approved ADC cancer drugs (ADCETRIS, PADCEV, TIVDAK, and TUKYSA) much faster than Seagen would have been able to by itself.</w:t>
            </w:r>
          </w:p>
          <w:p w14:paraId="2EC5A34C" w14:textId="5A1E56DA" w:rsidR="00BC4366" w:rsidRPr="00BC4366" w:rsidRDefault="00BC4366" w:rsidP="00BC4366">
            <w:pPr>
              <w:pStyle w:val="ListParagraph"/>
              <w:numPr>
                <w:ilvl w:val="0"/>
                <w:numId w:val="2"/>
              </w:numPr>
              <w:spacing w:after="160" w:line="259" w:lineRule="auto"/>
              <w:rPr>
                <w:rFonts w:ascii="Georgia" w:hAnsi="Georgia"/>
              </w:rPr>
            </w:pPr>
            <w:r w:rsidRPr="00BC4366">
              <w:rPr>
                <w:rFonts w:ascii="Georgia" w:hAnsi="Georgia"/>
                <w:b/>
                <w:bCs/>
              </w:rPr>
              <w:t>Strong ERM and compliance framework:</w:t>
            </w:r>
            <w:r w:rsidRPr="00BC4366">
              <w:rPr>
                <w:rFonts w:ascii="Georgia" w:hAnsi="Georgia"/>
              </w:rPr>
              <w:t xml:space="preserve"> </w:t>
            </w:r>
            <w:r w:rsidR="00B22A53">
              <w:rPr>
                <w:rFonts w:ascii="Georgia" w:hAnsi="Georgia"/>
              </w:rPr>
              <w:t>Through many</w:t>
            </w:r>
            <w:r w:rsidRPr="00BC4366">
              <w:rPr>
                <w:rFonts w:ascii="Georgia" w:hAnsi="Georgia"/>
              </w:rPr>
              <w:t xml:space="preserve"> decades of functioning within the FDA, EMA, and other global regulatory frameworks has built a solid foundation for pharmacovigilance practices, good manufacturing practices (GMP), and clinical trial management. This strong control environment mitigates compliance and quality risks associated with integrating Seagen's operations.</w:t>
            </w:r>
          </w:p>
          <w:p w14:paraId="08B1CC79" w14:textId="6ECACC47" w:rsidR="00BC4366" w:rsidRPr="00BC4366" w:rsidRDefault="00BC4366">
            <w:pPr>
              <w:rPr>
                <w:rFonts w:ascii="Georgia" w:hAnsi="Georgia"/>
                <w:b/>
                <w:sz w:val="32"/>
                <w:szCs w:val="32"/>
              </w:rPr>
            </w:pPr>
          </w:p>
        </w:tc>
        <w:tc>
          <w:tcPr>
            <w:tcW w:w="6475" w:type="dxa"/>
          </w:tcPr>
          <w:p w14:paraId="4DE6346F" w14:textId="77777777" w:rsidR="004E0225" w:rsidRDefault="004E0225">
            <w:pPr>
              <w:rPr>
                <w:rFonts w:ascii="Georgia" w:hAnsi="Georgia"/>
                <w:b/>
                <w:color w:val="C00000"/>
                <w:sz w:val="32"/>
                <w:szCs w:val="32"/>
              </w:rPr>
            </w:pPr>
            <w:r w:rsidRPr="00BC4366">
              <w:rPr>
                <w:rFonts w:ascii="Georgia" w:hAnsi="Georgia"/>
                <w:b/>
                <w:color w:val="C00000"/>
                <w:sz w:val="32"/>
                <w:szCs w:val="32"/>
              </w:rPr>
              <w:t>Weaknesses</w:t>
            </w:r>
          </w:p>
          <w:p w14:paraId="1376784B" w14:textId="2ED62618" w:rsidR="00A91E6B" w:rsidRPr="00D85B19" w:rsidRDefault="00A91E6B" w:rsidP="00A91E6B">
            <w:pPr>
              <w:rPr>
                <w:rFonts w:ascii="Georgia" w:hAnsi="Georgia"/>
                <w:bCs/>
                <w:i/>
                <w:iCs/>
                <w:color w:val="C00000"/>
                <w:sz w:val="18"/>
                <w:szCs w:val="18"/>
              </w:rPr>
            </w:pPr>
            <w:r w:rsidRPr="00D85B19">
              <w:rPr>
                <w:rFonts w:ascii="Georgia" w:hAnsi="Georgia"/>
                <w:bCs/>
                <w:i/>
                <w:iCs/>
                <w:color w:val="C00000"/>
                <w:sz w:val="18"/>
                <w:szCs w:val="18"/>
              </w:rPr>
              <w:t xml:space="preserve">Prepared by </w:t>
            </w:r>
            <w:r>
              <w:rPr>
                <w:rFonts w:ascii="Georgia" w:hAnsi="Georgia"/>
                <w:bCs/>
                <w:i/>
                <w:iCs/>
                <w:color w:val="C00000"/>
                <w:sz w:val="18"/>
                <w:szCs w:val="18"/>
              </w:rPr>
              <w:t>Dike</w:t>
            </w:r>
          </w:p>
          <w:p w14:paraId="27FDEA8B" w14:textId="686D8DCF" w:rsidR="00A91E6B" w:rsidRPr="00BC4366" w:rsidRDefault="00A91E6B">
            <w:pPr>
              <w:rPr>
                <w:rFonts w:ascii="Georgia" w:hAnsi="Georgia"/>
                <w:b/>
                <w:sz w:val="32"/>
                <w:szCs w:val="32"/>
              </w:rPr>
            </w:pPr>
          </w:p>
        </w:tc>
      </w:tr>
      <w:tr w:rsidR="004E0225" w:rsidRPr="00BC4366" w14:paraId="5E5CAD5F" w14:textId="77777777" w:rsidTr="004E0225">
        <w:trPr>
          <w:trHeight w:val="3970"/>
        </w:trPr>
        <w:tc>
          <w:tcPr>
            <w:tcW w:w="6475" w:type="dxa"/>
          </w:tcPr>
          <w:p w14:paraId="1A3F6AE0" w14:textId="77777777" w:rsidR="004E0225" w:rsidRDefault="004E0225">
            <w:pPr>
              <w:rPr>
                <w:rFonts w:ascii="Georgia" w:hAnsi="Georgia"/>
                <w:b/>
                <w:color w:val="C00000"/>
                <w:sz w:val="32"/>
                <w:szCs w:val="32"/>
              </w:rPr>
            </w:pPr>
            <w:r w:rsidRPr="00BC4366">
              <w:rPr>
                <w:rFonts w:ascii="Georgia" w:hAnsi="Georgia"/>
                <w:b/>
                <w:color w:val="C00000"/>
                <w:sz w:val="32"/>
                <w:szCs w:val="32"/>
              </w:rPr>
              <w:lastRenderedPageBreak/>
              <w:t>Opportunities</w:t>
            </w:r>
          </w:p>
          <w:p w14:paraId="0DF3D3AB" w14:textId="68E7726A" w:rsidR="00A91E6B" w:rsidRDefault="00A91E6B" w:rsidP="00A91E6B">
            <w:pPr>
              <w:rPr>
                <w:rFonts w:ascii="Georgia" w:hAnsi="Georgia"/>
                <w:bCs/>
                <w:i/>
                <w:iCs/>
                <w:color w:val="C00000"/>
                <w:sz w:val="18"/>
                <w:szCs w:val="18"/>
              </w:rPr>
            </w:pPr>
            <w:r w:rsidRPr="00D85B19">
              <w:rPr>
                <w:rFonts w:ascii="Georgia" w:hAnsi="Georgia"/>
                <w:bCs/>
                <w:i/>
                <w:iCs/>
                <w:color w:val="C00000"/>
                <w:sz w:val="18"/>
                <w:szCs w:val="18"/>
              </w:rPr>
              <w:t xml:space="preserve">Prepared by </w:t>
            </w:r>
            <w:r>
              <w:rPr>
                <w:rFonts w:ascii="Georgia" w:hAnsi="Georgia"/>
                <w:bCs/>
                <w:i/>
                <w:iCs/>
                <w:color w:val="C00000"/>
                <w:sz w:val="18"/>
                <w:szCs w:val="18"/>
              </w:rPr>
              <w:t>Amaka</w:t>
            </w:r>
          </w:p>
          <w:p w14:paraId="66847FE4" w14:textId="77777777" w:rsidR="00B31E0A" w:rsidRPr="00D85B19" w:rsidRDefault="00B31E0A" w:rsidP="00A91E6B">
            <w:pPr>
              <w:rPr>
                <w:rFonts w:ascii="Georgia" w:hAnsi="Georgia"/>
                <w:bCs/>
                <w:i/>
                <w:iCs/>
                <w:color w:val="C00000"/>
                <w:sz w:val="18"/>
                <w:szCs w:val="18"/>
              </w:rPr>
            </w:pPr>
          </w:p>
          <w:p w14:paraId="31228B85" w14:textId="77777777" w:rsidR="00B31E0A" w:rsidRDefault="00B31E0A" w:rsidP="00B31E0A">
            <w:pPr>
              <w:pStyle w:val="ListParagraph"/>
              <w:numPr>
                <w:ilvl w:val="0"/>
                <w:numId w:val="3"/>
              </w:numPr>
              <w:rPr>
                <w:rFonts w:ascii="Times New Roman" w:hAnsi="Times New Roman" w:cs="Times New Roman"/>
                <w:bCs/>
                <w:sz w:val="24"/>
                <w:szCs w:val="24"/>
              </w:rPr>
            </w:pPr>
            <w:r w:rsidRPr="00B31E0A">
              <w:rPr>
                <w:rFonts w:ascii="Times New Roman" w:hAnsi="Times New Roman" w:cs="Times New Roman"/>
                <w:bCs/>
                <w:sz w:val="24"/>
                <w:szCs w:val="24"/>
              </w:rPr>
              <w:t>The acquisition doubled the oncology pipeline for Pfizer to 60 programs and added 4 FDA approved ADCs. Pfizer publicly predicts that Seagen alone has the potential to bring in more than $10B in adjusted revenue by 2030. The application of Seagen's unique linker-payload to Pfizer's antibody library creates novel combinations to therapy.</w:t>
            </w:r>
          </w:p>
          <w:p w14:paraId="1CE84106" w14:textId="77777777" w:rsidR="00B31E0A" w:rsidRDefault="00B31E0A" w:rsidP="00B31E0A">
            <w:pPr>
              <w:pStyle w:val="ListParagraph"/>
              <w:rPr>
                <w:rFonts w:ascii="Times New Roman" w:hAnsi="Times New Roman" w:cs="Times New Roman"/>
                <w:bCs/>
                <w:sz w:val="24"/>
                <w:szCs w:val="24"/>
              </w:rPr>
            </w:pPr>
          </w:p>
          <w:p w14:paraId="3FBDF988" w14:textId="77777777" w:rsidR="00B31E0A" w:rsidRDefault="00B31E0A" w:rsidP="00B31E0A">
            <w:pPr>
              <w:pStyle w:val="ListParagraph"/>
              <w:numPr>
                <w:ilvl w:val="0"/>
                <w:numId w:val="3"/>
              </w:numPr>
              <w:rPr>
                <w:rFonts w:ascii="Times New Roman" w:hAnsi="Times New Roman" w:cs="Times New Roman"/>
                <w:bCs/>
                <w:sz w:val="24"/>
                <w:szCs w:val="24"/>
              </w:rPr>
            </w:pPr>
            <w:r w:rsidRPr="00B31E0A">
              <w:rPr>
                <w:rFonts w:ascii="Times New Roman" w:hAnsi="Times New Roman" w:cs="Times New Roman"/>
                <w:bCs/>
                <w:sz w:val="24"/>
                <w:szCs w:val="24"/>
              </w:rPr>
              <w:t>The synergy across costs and revenues as a result of scale: Pfizer expects to achieve almost $1B in annual cost synergies by 2026 thanks to services consolidation and the rationalization of the manufacturing network. Pfizer expects revenues to increase from Seagen products being launched in other countries more quickly due to Pfizer's established presence.</w:t>
            </w:r>
          </w:p>
          <w:p w14:paraId="761AA959" w14:textId="77777777" w:rsidR="00B31E0A" w:rsidRPr="00B31E0A" w:rsidRDefault="00B31E0A" w:rsidP="00B31E0A">
            <w:pPr>
              <w:pStyle w:val="ListParagraph"/>
              <w:rPr>
                <w:rFonts w:ascii="Times New Roman" w:hAnsi="Times New Roman" w:cs="Times New Roman"/>
                <w:bCs/>
                <w:sz w:val="24"/>
                <w:szCs w:val="24"/>
              </w:rPr>
            </w:pPr>
          </w:p>
          <w:p w14:paraId="6BE2E330" w14:textId="19392144" w:rsidR="00B31E0A" w:rsidRPr="00B31E0A" w:rsidRDefault="00B31E0A" w:rsidP="00B31E0A">
            <w:pPr>
              <w:pStyle w:val="ListParagraph"/>
              <w:numPr>
                <w:ilvl w:val="0"/>
                <w:numId w:val="3"/>
              </w:numPr>
              <w:rPr>
                <w:rFonts w:ascii="Times New Roman" w:hAnsi="Times New Roman" w:cs="Times New Roman"/>
                <w:bCs/>
                <w:sz w:val="24"/>
                <w:szCs w:val="24"/>
              </w:rPr>
            </w:pPr>
            <w:r w:rsidRPr="00B31E0A">
              <w:rPr>
                <w:rFonts w:ascii="Times New Roman" w:hAnsi="Times New Roman" w:cs="Times New Roman"/>
                <w:bCs/>
                <w:sz w:val="24"/>
                <w:szCs w:val="24"/>
              </w:rPr>
              <w:t xml:space="preserve">Strategically positioned to lead in precision oncology: Cancer </w:t>
            </w:r>
            <w:r w:rsidRPr="00B31E0A">
              <w:rPr>
                <w:rFonts w:ascii="Times New Roman" w:hAnsi="Times New Roman" w:cs="Times New Roman"/>
                <w:bCs/>
                <w:sz w:val="24"/>
                <w:szCs w:val="24"/>
              </w:rPr>
              <w:t>therapies-based</w:t>
            </w:r>
            <w:r w:rsidRPr="00B31E0A">
              <w:rPr>
                <w:rFonts w:ascii="Times New Roman" w:hAnsi="Times New Roman" w:cs="Times New Roman"/>
                <w:bCs/>
                <w:sz w:val="24"/>
                <w:szCs w:val="24"/>
              </w:rPr>
              <w:t xml:space="preserve"> ADC technology are the foundation current therapies for triple negative breast cancer and metastatic colon cancer. The acquisition of ADC technology will enable trials of bispecific antibodies and antibody drug conjugates which create new partnership and licensing opportunities with other biotech companies and enable collaborations with academic institutions that were never partners before with Pfizer on oncology.</w:t>
            </w:r>
          </w:p>
          <w:p w14:paraId="62F90215" w14:textId="68803A09" w:rsidR="00A91E6B" w:rsidRPr="00BC4366" w:rsidRDefault="00A91E6B">
            <w:pPr>
              <w:rPr>
                <w:rFonts w:ascii="Georgia" w:hAnsi="Georgia"/>
                <w:b/>
                <w:sz w:val="32"/>
                <w:szCs w:val="32"/>
              </w:rPr>
            </w:pPr>
          </w:p>
        </w:tc>
        <w:tc>
          <w:tcPr>
            <w:tcW w:w="6475" w:type="dxa"/>
          </w:tcPr>
          <w:p w14:paraId="069F301D" w14:textId="77777777" w:rsidR="004E0225" w:rsidRDefault="004E0225">
            <w:pPr>
              <w:rPr>
                <w:rFonts w:ascii="Georgia" w:hAnsi="Georgia"/>
                <w:b/>
                <w:color w:val="C00000"/>
                <w:sz w:val="32"/>
                <w:szCs w:val="32"/>
              </w:rPr>
            </w:pPr>
            <w:r w:rsidRPr="00BC4366">
              <w:rPr>
                <w:rFonts w:ascii="Georgia" w:hAnsi="Georgia"/>
                <w:b/>
                <w:color w:val="C00000"/>
                <w:sz w:val="32"/>
                <w:szCs w:val="32"/>
              </w:rPr>
              <w:t>Threats</w:t>
            </w:r>
          </w:p>
          <w:p w14:paraId="24058FB8" w14:textId="1942ED6E" w:rsidR="00A91E6B" w:rsidRPr="00D85B19" w:rsidRDefault="00A91E6B" w:rsidP="00A91E6B">
            <w:pPr>
              <w:rPr>
                <w:rFonts w:ascii="Georgia" w:hAnsi="Georgia"/>
                <w:bCs/>
                <w:i/>
                <w:iCs/>
                <w:color w:val="C00000"/>
                <w:sz w:val="18"/>
                <w:szCs w:val="18"/>
              </w:rPr>
            </w:pPr>
            <w:r w:rsidRPr="00D85B19">
              <w:rPr>
                <w:rFonts w:ascii="Georgia" w:hAnsi="Georgia"/>
                <w:bCs/>
                <w:i/>
                <w:iCs/>
                <w:color w:val="C00000"/>
                <w:sz w:val="18"/>
                <w:szCs w:val="18"/>
              </w:rPr>
              <w:t xml:space="preserve">Prepared by </w:t>
            </w:r>
            <w:r>
              <w:rPr>
                <w:rFonts w:ascii="Georgia" w:hAnsi="Georgia"/>
                <w:bCs/>
                <w:i/>
                <w:iCs/>
                <w:color w:val="C00000"/>
                <w:sz w:val="18"/>
                <w:szCs w:val="18"/>
              </w:rPr>
              <w:t>Stella</w:t>
            </w:r>
          </w:p>
          <w:p w14:paraId="05D1D81E" w14:textId="121D3C4E" w:rsidR="00A91E6B" w:rsidRPr="00BC4366" w:rsidRDefault="00A91E6B">
            <w:pPr>
              <w:rPr>
                <w:rFonts w:ascii="Georgia" w:hAnsi="Georgia"/>
                <w:b/>
                <w:sz w:val="32"/>
                <w:szCs w:val="32"/>
              </w:rPr>
            </w:pPr>
          </w:p>
        </w:tc>
      </w:tr>
    </w:tbl>
    <w:p w14:paraId="2473F160" w14:textId="0A509027" w:rsidR="004E0225" w:rsidRDefault="004E0225">
      <w:pPr>
        <w:rPr>
          <w:rFonts w:ascii="Georgia" w:hAnsi="Georgia"/>
          <w:sz w:val="32"/>
          <w:szCs w:val="32"/>
        </w:rPr>
      </w:pPr>
    </w:p>
    <w:p w14:paraId="4FB6DC78" w14:textId="3534B931" w:rsidR="00D85B19" w:rsidRDefault="00D85B19">
      <w:pPr>
        <w:rPr>
          <w:rFonts w:ascii="Georgia" w:hAnsi="Georgia"/>
          <w:sz w:val="32"/>
          <w:szCs w:val="32"/>
        </w:rPr>
      </w:pPr>
    </w:p>
    <w:p w14:paraId="42B15F39" w14:textId="2E3905F5" w:rsidR="00D85B19" w:rsidRPr="00D85B19" w:rsidRDefault="00D85B19" w:rsidP="00D85B19">
      <w:pPr>
        <w:pStyle w:val="ListParagraph"/>
        <w:numPr>
          <w:ilvl w:val="0"/>
          <w:numId w:val="1"/>
        </w:numPr>
        <w:rPr>
          <w:rFonts w:ascii="Georgia" w:hAnsi="Georgia"/>
          <w:b/>
          <w:bCs/>
          <w:sz w:val="32"/>
          <w:szCs w:val="32"/>
        </w:rPr>
      </w:pPr>
      <w:r w:rsidRPr="00D85B19">
        <w:rPr>
          <w:rFonts w:ascii="Georgia" w:hAnsi="Georgia"/>
          <w:b/>
          <w:bCs/>
          <w:sz w:val="32"/>
          <w:szCs w:val="32"/>
        </w:rPr>
        <w:lastRenderedPageBreak/>
        <w:t>Key Risk Indicators by Operational Element</w:t>
      </w:r>
    </w:p>
    <w:p w14:paraId="5CA64CDD" w14:textId="3400E9F8" w:rsidR="00D85B19" w:rsidRDefault="00D85B19" w:rsidP="00D85B19">
      <w:pPr>
        <w:rPr>
          <w:rFonts w:ascii="Georgia" w:hAnsi="Georgia"/>
        </w:rPr>
      </w:pPr>
      <w:r w:rsidRPr="00D85B19">
        <w:rPr>
          <w:rFonts w:ascii="Georgia" w:hAnsi="Georgia"/>
        </w:rPr>
        <w:t>KRIs convert qualitative risk from the SWOT into quantitative metrics that can be monitored. Each KRI has a risk owner who is responsible for reporting it quarterly via the Enterprise Risk Committee, with urgent indicators reported monthly while integrating.</w:t>
      </w:r>
    </w:p>
    <w:tbl>
      <w:tblPr>
        <w:tblW w:w="11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395"/>
        <w:gridCol w:w="7510"/>
      </w:tblGrid>
      <w:tr w:rsidR="00D85B19" w:rsidRPr="00D85B19" w14:paraId="072E7DC2" w14:textId="77777777" w:rsidTr="00D85B19">
        <w:trPr>
          <w:tblHeader/>
        </w:trPr>
        <w:tc>
          <w:tcPr>
            <w:tcW w:w="2144"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3C36FC49" w14:textId="77777777" w:rsidR="00D85B19" w:rsidRPr="00D85B19" w:rsidRDefault="00D85B19" w:rsidP="00ED4AA4">
            <w:pPr>
              <w:rPr>
                <w:rFonts w:ascii="Georgia" w:hAnsi="Georgia"/>
              </w:rPr>
            </w:pPr>
            <w:r w:rsidRPr="00D85B19">
              <w:rPr>
                <w:rFonts w:ascii="Georgia" w:eastAsia="Arial" w:hAnsi="Georgia" w:cs="Arial"/>
                <w:b/>
                <w:bCs/>
                <w:color w:val="FFFFFF"/>
              </w:rPr>
              <w:t>Risk Category</w:t>
            </w:r>
          </w:p>
        </w:tc>
        <w:tc>
          <w:tcPr>
            <w:tcW w:w="1395"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2479639F" w14:textId="77777777" w:rsidR="00D85B19" w:rsidRPr="00D85B19" w:rsidRDefault="00D85B19" w:rsidP="00ED4AA4">
            <w:pPr>
              <w:rPr>
                <w:rFonts w:ascii="Georgia" w:hAnsi="Georgia"/>
              </w:rPr>
            </w:pPr>
            <w:r w:rsidRPr="00D85B19">
              <w:rPr>
                <w:rFonts w:ascii="Georgia" w:eastAsia="Arial" w:hAnsi="Georgia" w:cs="Arial"/>
                <w:b/>
                <w:bCs/>
                <w:color w:val="FFFFFF"/>
              </w:rPr>
              <w:t>Owner</w:t>
            </w:r>
          </w:p>
        </w:tc>
        <w:tc>
          <w:tcPr>
            <w:tcW w:w="7510"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5FEFA234" w14:textId="77777777" w:rsidR="00D85B19" w:rsidRPr="00D85B19" w:rsidRDefault="00D85B19" w:rsidP="00ED4AA4">
            <w:pPr>
              <w:rPr>
                <w:rFonts w:ascii="Georgia" w:hAnsi="Georgia"/>
              </w:rPr>
            </w:pPr>
            <w:r w:rsidRPr="00D85B19">
              <w:rPr>
                <w:rFonts w:ascii="Georgia" w:eastAsia="Arial" w:hAnsi="Georgia" w:cs="Arial"/>
                <w:b/>
                <w:bCs/>
                <w:color w:val="FFFFFF"/>
              </w:rPr>
              <w:t>Key Risk Indicators (KRIs)</w:t>
            </w:r>
          </w:p>
        </w:tc>
      </w:tr>
      <w:tr w:rsidR="00D85B19" w:rsidRPr="00D85B19" w14:paraId="18FC1292" w14:textId="77777777" w:rsidTr="00D85B19">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1D9B3F4A" w14:textId="77777777" w:rsidR="00D85B19" w:rsidRPr="00D85B19" w:rsidRDefault="00D85B19" w:rsidP="00ED4AA4">
            <w:pPr>
              <w:rPr>
                <w:rFonts w:ascii="Georgia" w:hAnsi="Georgia"/>
              </w:rPr>
            </w:pPr>
            <w:r w:rsidRPr="00D85B19">
              <w:rPr>
                <w:rFonts w:ascii="Georgia" w:eastAsia="Arial" w:hAnsi="Georgia" w:cs="Arial"/>
                <w:b/>
                <w:bCs/>
              </w:rPr>
              <w:t>People</w:t>
            </w:r>
          </w:p>
        </w:tc>
        <w:tc>
          <w:tcPr>
            <w:tcW w:w="1395"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67D7BC1E"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PRINCESS</w:t>
            </w:r>
          </w:p>
        </w:tc>
        <w:tc>
          <w:tcPr>
            <w:tcW w:w="7510"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A58BA9E" w14:textId="37D1CC36" w:rsidR="00D85B19" w:rsidRPr="00D85B19" w:rsidRDefault="00D85B19" w:rsidP="00D85B19">
            <w:pPr>
              <w:jc w:val="both"/>
              <w:rPr>
                <w:rFonts w:ascii="Georgia" w:hAnsi="Georgia" w:cs="Geeza Pro"/>
              </w:rPr>
            </w:pPr>
            <w:r w:rsidRPr="00D85B19">
              <w:rPr>
                <w:rFonts w:ascii="Georgia" w:hAnsi="Georgia" w:cs="Geeza Pro"/>
              </w:rPr>
              <w:t>Attrition rate among Seagen's ADC scientists and senior commercial leaders; time taken to hire key staff for oncology R&amp;D jobs; integrated units' engagement scores; count of dependencies on key people for Seagen's ADC linker-payload IP.</w:t>
            </w:r>
          </w:p>
        </w:tc>
      </w:tr>
      <w:tr w:rsidR="00D85B19" w:rsidRPr="00D85B19" w14:paraId="248194A9" w14:textId="77777777" w:rsidTr="00D85B19">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19613658" w14:textId="77777777" w:rsidR="00D85B19" w:rsidRPr="00D85B19" w:rsidRDefault="00D85B19" w:rsidP="00ED4AA4">
            <w:pPr>
              <w:rPr>
                <w:rFonts w:ascii="Georgia" w:hAnsi="Georgia"/>
              </w:rPr>
            </w:pPr>
            <w:r w:rsidRPr="00D85B19">
              <w:rPr>
                <w:rFonts w:ascii="Georgia" w:eastAsia="Arial" w:hAnsi="Georgia" w:cs="Arial"/>
                <w:b/>
                <w:bCs/>
              </w:rPr>
              <w:t>Processes</w:t>
            </w:r>
          </w:p>
        </w:tc>
        <w:tc>
          <w:tcPr>
            <w:tcW w:w="1395"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416E9680"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PRINCESS</w:t>
            </w:r>
          </w:p>
        </w:tc>
        <w:tc>
          <w:tcPr>
            <w:tcW w:w="7510"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4A907FBF" w14:textId="15CE3C34" w:rsidR="00D85B19" w:rsidRPr="00D85B19" w:rsidRDefault="00D85B19" w:rsidP="00D85B19">
            <w:pPr>
              <w:jc w:val="both"/>
              <w:rPr>
                <w:rFonts w:ascii="Georgia" w:hAnsi="Georgia" w:cs="Geeza Pro"/>
              </w:rPr>
            </w:pPr>
            <w:r w:rsidRPr="00D85B19">
              <w:rPr>
                <w:rFonts w:ascii="Georgia" w:hAnsi="Georgia" w:cs="Geeza Pro"/>
              </w:rPr>
              <w:t>Number of missed integration milestones; cycle times to approve clinical trial protocols after integration; number of GxP findings; percentage capture of synergy against the $1 billion goal in 2026; number of SOX deficiencies within the consolidated entity.</w:t>
            </w:r>
          </w:p>
        </w:tc>
      </w:tr>
      <w:tr w:rsidR="00D85B19" w:rsidRPr="00D85B19" w14:paraId="0ACB37C9" w14:textId="77777777" w:rsidTr="00D85B19">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1A30DBCF" w14:textId="77777777" w:rsidR="00D85B19" w:rsidRPr="00D85B19" w:rsidRDefault="00D85B19" w:rsidP="00ED4AA4">
            <w:pPr>
              <w:rPr>
                <w:rFonts w:ascii="Georgia" w:hAnsi="Georgia"/>
              </w:rPr>
            </w:pPr>
            <w:r w:rsidRPr="00D85B19">
              <w:rPr>
                <w:rFonts w:ascii="Georgia" w:eastAsia="Arial" w:hAnsi="Georgia" w:cs="Arial"/>
                <w:b/>
                <w:bCs/>
              </w:rPr>
              <w:t>Technology</w:t>
            </w:r>
          </w:p>
        </w:tc>
        <w:tc>
          <w:tcPr>
            <w:tcW w:w="1395"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F6D4174"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DIKE</w:t>
            </w:r>
          </w:p>
        </w:tc>
        <w:tc>
          <w:tcPr>
            <w:tcW w:w="7510"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D74F440" w14:textId="638BF8AE" w:rsidR="00D85B19" w:rsidRPr="00D85B19" w:rsidRDefault="00D85B19" w:rsidP="00D85B19"/>
        </w:tc>
      </w:tr>
      <w:tr w:rsidR="00D85B19" w:rsidRPr="00D85B19" w14:paraId="7F7AEBB9" w14:textId="77777777" w:rsidTr="00D85B19">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3127C94D" w14:textId="77777777" w:rsidR="00D85B19" w:rsidRPr="00D85B19" w:rsidRDefault="00D85B19" w:rsidP="00ED4AA4">
            <w:pPr>
              <w:rPr>
                <w:rFonts w:ascii="Georgia" w:hAnsi="Georgia"/>
              </w:rPr>
            </w:pPr>
            <w:r w:rsidRPr="00D85B19">
              <w:rPr>
                <w:rFonts w:ascii="Georgia" w:eastAsia="Arial" w:hAnsi="Georgia" w:cs="Arial"/>
                <w:b/>
                <w:bCs/>
              </w:rPr>
              <w:t>Facilities</w:t>
            </w:r>
          </w:p>
        </w:tc>
        <w:tc>
          <w:tcPr>
            <w:tcW w:w="1395"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E625A0D"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DIKE</w:t>
            </w:r>
          </w:p>
        </w:tc>
        <w:tc>
          <w:tcPr>
            <w:tcW w:w="7510"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E257EB5" w14:textId="7B57AD82" w:rsidR="00D85B19" w:rsidRPr="00D85B19" w:rsidRDefault="00D85B19" w:rsidP="00D85B19"/>
        </w:tc>
      </w:tr>
      <w:tr w:rsidR="00D85B19" w:rsidRPr="00D85B19" w14:paraId="43F6D005" w14:textId="77777777" w:rsidTr="00D85B19">
        <w:tc>
          <w:tcPr>
            <w:tcW w:w="2144"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29B20FB8" w14:textId="77777777" w:rsidR="00D85B19" w:rsidRPr="00D85B19" w:rsidRDefault="00D85B19" w:rsidP="00ED4AA4">
            <w:pPr>
              <w:rPr>
                <w:rFonts w:ascii="Georgia" w:hAnsi="Georgia"/>
              </w:rPr>
            </w:pPr>
            <w:r w:rsidRPr="00D85B19">
              <w:rPr>
                <w:rFonts w:ascii="Georgia" w:eastAsia="Arial" w:hAnsi="Georgia" w:cs="Arial"/>
                <w:b/>
                <w:bCs/>
              </w:rPr>
              <w:t>Other (Financial, Regulatory, Strategic)</w:t>
            </w:r>
          </w:p>
        </w:tc>
        <w:tc>
          <w:tcPr>
            <w:tcW w:w="1395"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2F11D4E5" w14:textId="77777777" w:rsidR="00D85B19" w:rsidRPr="00D85B19" w:rsidRDefault="00D85B19" w:rsidP="00ED4AA4">
            <w:pPr>
              <w:rPr>
                <w:rFonts w:ascii="Georgia" w:hAnsi="Georgia"/>
                <w:color w:val="000000" w:themeColor="text1"/>
              </w:rPr>
            </w:pPr>
            <w:r w:rsidRPr="00D85B19">
              <w:rPr>
                <w:rFonts w:ascii="Georgia" w:hAnsi="Georgia"/>
                <w:color w:val="000000" w:themeColor="text1"/>
              </w:rPr>
              <w:t>AMAKA</w:t>
            </w:r>
          </w:p>
        </w:tc>
        <w:tc>
          <w:tcPr>
            <w:tcW w:w="7510"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A2120DE" w14:textId="34BE0D7F" w:rsidR="00D85B19" w:rsidRPr="00EB4FED" w:rsidRDefault="00EB4FED" w:rsidP="00D85B19">
            <w:pPr>
              <w:rPr>
                <w:rFonts w:ascii="Times New Roman" w:hAnsi="Times New Roman" w:cs="Times New Roman"/>
                <w:sz w:val="24"/>
                <w:szCs w:val="24"/>
              </w:rPr>
            </w:pPr>
            <w:r w:rsidRPr="00EB4FED">
              <w:rPr>
                <w:rFonts w:ascii="Times New Roman" w:hAnsi="Times New Roman" w:cs="Times New Roman"/>
                <w:sz w:val="24"/>
                <w:szCs w:val="24"/>
              </w:rPr>
              <w:t>Free cash flow versus debt service obligations on $31B of acquisition debt; delays in FDA submissions; IRA Medicare negotiations for both on-market and in-line pipeline products; Foreign exchange impact on consolidated oncology revenue; trends in ESG and litigation reserves.</w:t>
            </w:r>
          </w:p>
        </w:tc>
      </w:tr>
    </w:tbl>
    <w:p w14:paraId="221C8C16" w14:textId="173CAA71" w:rsidR="00D85B19" w:rsidRDefault="00D85B19" w:rsidP="00D85B19">
      <w:pPr>
        <w:rPr>
          <w:rFonts w:ascii="Georgia" w:hAnsi="Georgia"/>
        </w:rPr>
      </w:pPr>
    </w:p>
    <w:p w14:paraId="1A1211C3" w14:textId="77777777" w:rsidR="00EB4FED" w:rsidRDefault="00EB4FED" w:rsidP="00D85B19">
      <w:pPr>
        <w:rPr>
          <w:rFonts w:ascii="Georgia" w:hAnsi="Georgia"/>
        </w:rPr>
      </w:pPr>
    </w:p>
    <w:p w14:paraId="0D638220" w14:textId="3D83CDA2" w:rsidR="00D85B19" w:rsidRDefault="00D85B19" w:rsidP="00D85B19">
      <w:pPr>
        <w:rPr>
          <w:rFonts w:ascii="Georgia" w:hAnsi="Georgia"/>
        </w:rPr>
      </w:pPr>
    </w:p>
    <w:p w14:paraId="327945E4" w14:textId="77777777" w:rsidR="00EB4FED" w:rsidRDefault="00D85B19" w:rsidP="00EB4FED">
      <w:pPr>
        <w:pStyle w:val="ListParagraph"/>
        <w:numPr>
          <w:ilvl w:val="0"/>
          <w:numId w:val="1"/>
        </w:numPr>
        <w:rPr>
          <w:rFonts w:ascii="Georgia" w:hAnsi="Georgia"/>
          <w:b/>
          <w:bCs/>
          <w:sz w:val="32"/>
          <w:szCs w:val="32"/>
        </w:rPr>
      </w:pPr>
      <w:r w:rsidRPr="00D85B19">
        <w:rPr>
          <w:rFonts w:ascii="Georgia" w:hAnsi="Georgia"/>
          <w:b/>
          <w:bCs/>
          <w:sz w:val="32"/>
          <w:szCs w:val="32"/>
        </w:rPr>
        <w:lastRenderedPageBreak/>
        <w:t>Contributing Factors and Preliminary Controls</w:t>
      </w:r>
    </w:p>
    <w:p w14:paraId="19F76DB0" w14:textId="44A2BEA9" w:rsidR="00935536" w:rsidRPr="00EB4FED" w:rsidRDefault="00935536" w:rsidP="00EB4FED">
      <w:pPr>
        <w:pStyle w:val="ListParagraph"/>
        <w:rPr>
          <w:rFonts w:ascii="Georgia" w:hAnsi="Georgia"/>
          <w:b/>
          <w:bCs/>
          <w:sz w:val="32"/>
          <w:szCs w:val="32"/>
        </w:rPr>
      </w:pPr>
      <w:r w:rsidRPr="00EB4FED">
        <w:rPr>
          <w:rFonts w:ascii="Georgia" w:hAnsi="Georgia"/>
          <w:i/>
          <w:iCs/>
          <w:sz w:val="18"/>
          <w:szCs w:val="18"/>
        </w:rPr>
        <w:t>Prepared by Amaka</w:t>
      </w:r>
    </w:p>
    <w:p w14:paraId="16A1CB94" w14:textId="77777777" w:rsidR="00935536" w:rsidRPr="00935536" w:rsidRDefault="00935536" w:rsidP="00935536">
      <w:pPr>
        <w:pStyle w:val="ListParagraph"/>
        <w:rPr>
          <w:rFonts w:ascii="Georgia" w:hAnsi="Georgia"/>
          <w:i/>
          <w:iCs/>
          <w:sz w:val="18"/>
          <w:szCs w:val="18"/>
        </w:rPr>
      </w:pPr>
    </w:p>
    <w:p w14:paraId="3CA17AF9" w14:textId="05BD0549" w:rsidR="00935536" w:rsidRDefault="00520B3F" w:rsidP="00935536">
      <w:pPr>
        <w:pStyle w:val="ListParagraph"/>
        <w:rPr>
          <w:rFonts w:ascii="Times New Roman" w:hAnsi="Times New Roman" w:cs="Times New Roman"/>
          <w:sz w:val="24"/>
          <w:szCs w:val="24"/>
        </w:rPr>
      </w:pPr>
      <w:r w:rsidRPr="00520B3F">
        <w:rPr>
          <w:rFonts w:ascii="Times New Roman" w:hAnsi="Times New Roman" w:cs="Times New Roman"/>
          <w:sz w:val="24"/>
          <w:szCs w:val="24"/>
        </w:rPr>
        <w:t>The table below links the main risks behind the acquisition with their drivers and initial controls in anticipation of the formal risk assessment and treatment phases. The controls inventory is preliminary and will be refined through control design workshops, walkthrough testing, and risk-and-control self-assessment (RCSA) during the assessment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322"/>
        <w:gridCol w:w="3698"/>
      </w:tblGrid>
      <w:tr w:rsidR="00520B3F" w:rsidRPr="00520B3F" w14:paraId="052E4694" w14:textId="77777777" w:rsidTr="002B492E">
        <w:trPr>
          <w:tblHeader/>
        </w:trPr>
        <w:tc>
          <w:tcPr>
            <w:tcW w:w="2340"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7EB468F1" w14:textId="77777777" w:rsidR="00520B3F" w:rsidRPr="00520B3F" w:rsidRDefault="00520B3F" w:rsidP="00520B3F">
            <w:pPr>
              <w:spacing w:after="0" w:line="240" w:lineRule="auto"/>
              <w:rPr>
                <w:rFonts w:ascii="Arial" w:eastAsia="Arial" w:hAnsi="Arial" w:cs="Arial"/>
                <w:lang w:val="en-PH"/>
              </w:rPr>
            </w:pPr>
            <w:r w:rsidRPr="00520B3F">
              <w:rPr>
                <w:rFonts w:ascii="Arial" w:eastAsia="Arial" w:hAnsi="Arial" w:cs="Arial"/>
                <w:b/>
                <w:bCs/>
                <w:color w:val="FFFFFF"/>
                <w:sz w:val="20"/>
                <w:szCs w:val="20"/>
                <w:lang w:val="en-PH"/>
              </w:rPr>
              <w:t>Risk</w:t>
            </w:r>
          </w:p>
        </w:tc>
        <w:tc>
          <w:tcPr>
            <w:tcW w:w="3322"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6A2AE992" w14:textId="77777777" w:rsidR="00520B3F" w:rsidRPr="00520B3F" w:rsidRDefault="00520B3F" w:rsidP="00520B3F">
            <w:pPr>
              <w:spacing w:after="0" w:line="240" w:lineRule="auto"/>
              <w:rPr>
                <w:rFonts w:ascii="Arial" w:eastAsia="Arial" w:hAnsi="Arial" w:cs="Arial"/>
                <w:lang w:val="en-PH"/>
              </w:rPr>
            </w:pPr>
            <w:r w:rsidRPr="00520B3F">
              <w:rPr>
                <w:rFonts w:ascii="Arial" w:eastAsia="Arial" w:hAnsi="Arial" w:cs="Arial"/>
                <w:b/>
                <w:bCs/>
                <w:color w:val="FFFFFF"/>
                <w:sz w:val="20"/>
                <w:szCs w:val="20"/>
                <w:lang w:val="en-PH"/>
              </w:rPr>
              <w:t>Contributing Factors</w:t>
            </w:r>
          </w:p>
        </w:tc>
        <w:tc>
          <w:tcPr>
            <w:tcW w:w="3698" w:type="dxa"/>
            <w:tcBorders>
              <w:top w:val="single" w:sz="6" w:space="0" w:color="808080"/>
              <w:left w:val="single" w:sz="6" w:space="0" w:color="808080"/>
              <w:bottom w:val="single" w:sz="6" w:space="0" w:color="808080"/>
              <w:right w:val="single" w:sz="6" w:space="0" w:color="808080"/>
            </w:tcBorders>
            <w:shd w:val="clear" w:color="auto" w:fill="1F3864"/>
            <w:tcMar>
              <w:top w:w="120" w:type="dxa"/>
              <w:left w:w="160" w:type="dxa"/>
              <w:bottom w:w="120" w:type="dxa"/>
              <w:right w:w="160" w:type="dxa"/>
            </w:tcMar>
          </w:tcPr>
          <w:p w14:paraId="0B4F8858" w14:textId="77777777" w:rsidR="00520B3F" w:rsidRPr="00520B3F" w:rsidRDefault="00520B3F" w:rsidP="00520B3F">
            <w:pPr>
              <w:spacing w:after="0" w:line="240" w:lineRule="auto"/>
              <w:rPr>
                <w:rFonts w:ascii="Arial" w:eastAsia="Arial" w:hAnsi="Arial" w:cs="Arial"/>
                <w:lang w:val="en-PH"/>
              </w:rPr>
            </w:pPr>
            <w:r w:rsidRPr="00520B3F">
              <w:rPr>
                <w:rFonts w:ascii="Arial" w:eastAsia="Arial" w:hAnsi="Arial" w:cs="Arial"/>
                <w:b/>
                <w:bCs/>
                <w:color w:val="FFFFFF"/>
                <w:sz w:val="20"/>
                <w:szCs w:val="20"/>
                <w:lang w:val="en-PH"/>
              </w:rPr>
              <w:t>Preliminary Controls</w:t>
            </w:r>
          </w:p>
        </w:tc>
      </w:tr>
      <w:tr w:rsidR="00520B3F" w:rsidRPr="00520B3F" w14:paraId="23E415C9" w14:textId="77777777" w:rsidTr="002B492E">
        <w:tc>
          <w:tcPr>
            <w:tcW w:w="2340"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5B564E7E" w14:textId="77777777" w:rsidR="00520B3F" w:rsidRPr="00520B3F" w:rsidRDefault="00520B3F" w:rsidP="00520B3F">
            <w:pPr>
              <w:spacing w:after="0" w:line="240" w:lineRule="auto"/>
              <w:rPr>
                <w:rFonts w:ascii="Arial" w:eastAsia="Arial" w:hAnsi="Arial" w:cs="Arial"/>
                <w:lang w:val="en-PH"/>
              </w:rPr>
            </w:pPr>
            <w:r w:rsidRPr="00520B3F">
              <w:rPr>
                <w:rFonts w:ascii="Arial" w:eastAsia="Arial" w:hAnsi="Arial" w:cs="Arial"/>
                <w:b/>
                <w:bCs/>
                <w:sz w:val="18"/>
                <w:szCs w:val="18"/>
                <w:lang w:val="en-PH"/>
              </w:rPr>
              <w:t>Integration execution risk</w:t>
            </w:r>
          </w:p>
        </w:tc>
        <w:tc>
          <w:tcPr>
            <w:tcW w:w="3322"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190E107E" w14:textId="7A9400BB" w:rsidR="00520B3F" w:rsidRPr="00CE29B3" w:rsidRDefault="00CE29B3" w:rsidP="00520B3F">
            <w:pPr>
              <w:spacing w:after="0" w:line="240" w:lineRule="auto"/>
              <w:rPr>
                <w:rFonts w:ascii="Times New Roman" w:eastAsia="Arial" w:hAnsi="Times New Roman" w:cs="Times New Roman"/>
                <w:lang w:val="en-PH"/>
              </w:rPr>
            </w:pPr>
            <w:r w:rsidRPr="00CE29B3">
              <w:rPr>
                <w:rFonts w:ascii="Times New Roman" w:eastAsia="Arial" w:hAnsi="Times New Roman" w:cs="Times New Roman"/>
                <w:lang w:val="en-PH"/>
              </w:rPr>
              <w:t>Cultural disconnect Matrix decision making Loss of Seagen independence Concurrent cost-cutting initiative</w:t>
            </w:r>
          </w:p>
        </w:tc>
        <w:tc>
          <w:tcPr>
            <w:tcW w:w="3698"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4B9B67A6" w14:textId="655CB710" w:rsidR="00520B3F" w:rsidRPr="00CE29B3" w:rsidRDefault="00CE29B3" w:rsidP="00520B3F">
            <w:pPr>
              <w:spacing w:after="0" w:line="240" w:lineRule="auto"/>
              <w:rPr>
                <w:rFonts w:ascii="Times New Roman" w:eastAsia="Arial" w:hAnsi="Times New Roman" w:cs="Times New Roman"/>
                <w:lang w:val="en-PH"/>
              </w:rPr>
            </w:pPr>
            <w:r w:rsidRPr="00CE29B3">
              <w:rPr>
                <w:rFonts w:ascii="Times New Roman" w:eastAsia="Arial" w:hAnsi="Times New Roman" w:cs="Times New Roman"/>
                <w:lang w:val="en-PH"/>
              </w:rPr>
              <w:t>Dedicated Integration Management Office reporting to CEO; retention bonuses and equity for key ADC scientists; Seagen R&amp;D leadership retained within Pfizer Oncology Division; milestone-based integration scorecard reviewed by Audit Committee</w:t>
            </w:r>
          </w:p>
        </w:tc>
      </w:tr>
      <w:tr w:rsidR="00520B3F" w:rsidRPr="00520B3F" w14:paraId="18DC1CA2" w14:textId="77777777" w:rsidTr="002B492E">
        <w:tc>
          <w:tcPr>
            <w:tcW w:w="2340"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002488A1" w14:textId="77777777" w:rsidR="00520B3F" w:rsidRPr="00520B3F" w:rsidRDefault="00520B3F" w:rsidP="00520B3F">
            <w:pPr>
              <w:spacing w:after="0" w:line="240" w:lineRule="auto"/>
              <w:rPr>
                <w:rFonts w:ascii="Arial" w:eastAsia="Arial" w:hAnsi="Arial" w:cs="Arial"/>
                <w:lang w:val="en-PH"/>
              </w:rPr>
            </w:pPr>
            <w:r w:rsidRPr="00520B3F">
              <w:rPr>
                <w:rFonts w:ascii="Arial" w:eastAsia="Arial" w:hAnsi="Arial" w:cs="Arial"/>
                <w:b/>
                <w:bCs/>
                <w:sz w:val="18"/>
                <w:szCs w:val="18"/>
                <w:lang w:val="en-PH"/>
              </w:rPr>
              <w:t>Clinical and regulatory risk</w:t>
            </w:r>
          </w:p>
        </w:tc>
        <w:tc>
          <w:tcPr>
            <w:tcW w:w="3322"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149A3C57" w14:textId="32DE0F65" w:rsidR="00520B3F" w:rsidRPr="00CE29B3" w:rsidRDefault="00CE29B3" w:rsidP="00520B3F">
            <w:pPr>
              <w:spacing w:after="0" w:line="240" w:lineRule="auto"/>
              <w:rPr>
                <w:rFonts w:ascii="Times New Roman" w:eastAsia="Arial" w:hAnsi="Times New Roman" w:cs="Times New Roman"/>
                <w:lang w:val="en-PH"/>
              </w:rPr>
            </w:pPr>
            <w:r w:rsidRPr="00CE29B3">
              <w:rPr>
                <w:rFonts w:ascii="Times New Roman" w:eastAsia="Arial" w:hAnsi="Times New Roman" w:cs="Times New Roman"/>
                <w:lang w:val="en-PH"/>
              </w:rPr>
              <w:t>Trial endpoints not met; FDA / EMA non-approval; issues with manufacturing comparability after integration</w:t>
            </w:r>
          </w:p>
        </w:tc>
        <w:tc>
          <w:tcPr>
            <w:tcW w:w="3698"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C09A3C1" w14:textId="7B82D6EA" w:rsidR="00520B3F" w:rsidRPr="00E01B81" w:rsidRDefault="00E01B81" w:rsidP="00520B3F">
            <w:pPr>
              <w:spacing w:after="0" w:line="240" w:lineRule="auto"/>
              <w:rPr>
                <w:rFonts w:ascii="Times New Roman" w:eastAsia="Arial" w:hAnsi="Times New Roman" w:cs="Times New Roman"/>
                <w:lang w:val="en-PH"/>
              </w:rPr>
            </w:pPr>
            <w:r w:rsidRPr="00E01B81">
              <w:rPr>
                <w:rFonts w:ascii="Times New Roman" w:eastAsia="Arial" w:hAnsi="Times New Roman" w:cs="Times New Roman"/>
                <w:lang w:val="en-PH"/>
              </w:rPr>
              <w:t>Independent Data Monitoring Committees Regulatory Pre-</w:t>
            </w:r>
            <w:r w:rsidR="007E512C" w:rsidRPr="00E01B81">
              <w:rPr>
                <w:rFonts w:ascii="Times New Roman" w:eastAsia="Arial" w:hAnsi="Times New Roman" w:cs="Times New Roman"/>
                <w:lang w:val="en-PH"/>
              </w:rPr>
              <w:t>Submission</w:t>
            </w:r>
            <w:r w:rsidRPr="00E01B81">
              <w:rPr>
                <w:rFonts w:ascii="Times New Roman" w:eastAsia="Arial" w:hAnsi="Times New Roman" w:cs="Times New Roman"/>
                <w:lang w:val="en-PH"/>
              </w:rPr>
              <w:t xml:space="preserve"> Meetings Manufacturing Validation in Parallel Track GxP Audit Program Expanded to Seagen Sites Risk-Based Monitoring per ICH E6(R3)</w:t>
            </w:r>
          </w:p>
        </w:tc>
      </w:tr>
      <w:tr w:rsidR="00520B3F" w:rsidRPr="00520B3F" w14:paraId="3D6F0966" w14:textId="77777777" w:rsidTr="002B492E">
        <w:tc>
          <w:tcPr>
            <w:tcW w:w="2340"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4F431FBC" w14:textId="77777777" w:rsidR="00520B3F" w:rsidRPr="00520B3F" w:rsidRDefault="00520B3F" w:rsidP="00520B3F">
            <w:pPr>
              <w:spacing w:after="0" w:line="240" w:lineRule="auto"/>
              <w:rPr>
                <w:rFonts w:ascii="Arial" w:eastAsia="Arial" w:hAnsi="Arial" w:cs="Arial"/>
                <w:lang w:val="en-PH"/>
              </w:rPr>
            </w:pPr>
            <w:r w:rsidRPr="00520B3F">
              <w:rPr>
                <w:rFonts w:ascii="Arial" w:eastAsia="Arial" w:hAnsi="Arial" w:cs="Arial"/>
                <w:b/>
                <w:bCs/>
                <w:sz w:val="18"/>
                <w:szCs w:val="18"/>
                <w:lang w:val="en-PH"/>
              </w:rPr>
              <w:t>Cybersecurity and information security risk</w:t>
            </w:r>
          </w:p>
        </w:tc>
        <w:tc>
          <w:tcPr>
            <w:tcW w:w="3322"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470C8BAF" w14:textId="4695BB34" w:rsidR="00E01B81" w:rsidRPr="00E01B81" w:rsidRDefault="00E01B81" w:rsidP="00E01B81">
            <w:pPr>
              <w:rPr>
                <w:rFonts w:ascii="Times New Roman" w:eastAsia="Arial" w:hAnsi="Times New Roman" w:cs="Times New Roman"/>
                <w:lang w:val="en-PH"/>
              </w:rPr>
            </w:pPr>
            <w:r w:rsidRPr="00E01B81">
              <w:rPr>
                <w:rFonts w:ascii="Times New Roman" w:eastAsia="Arial" w:hAnsi="Times New Roman" w:cs="Times New Roman"/>
                <w:lang w:val="en-PH"/>
              </w:rPr>
              <w:t>Increased attack surface while integrating systems; ransomware attacks on the IP of the pharmaceutical industry; threats from within; exposure to third-party vendors</w:t>
            </w:r>
          </w:p>
          <w:p w14:paraId="5D254191" w14:textId="6948FC24" w:rsidR="00520B3F" w:rsidRPr="00520B3F" w:rsidRDefault="00520B3F" w:rsidP="00520B3F">
            <w:pPr>
              <w:spacing w:after="0" w:line="240" w:lineRule="auto"/>
              <w:rPr>
                <w:rFonts w:ascii="Arial" w:eastAsia="Arial" w:hAnsi="Arial" w:cs="Arial"/>
                <w:lang w:val="en-PH"/>
              </w:rPr>
            </w:pPr>
          </w:p>
        </w:tc>
        <w:tc>
          <w:tcPr>
            <w:tcW w:w="3698"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9514272" w14:textId="0AD65492" w:rsidR="00520B3F" w:rsidRPr="00E01B81" w:rsidRDefault="00E01B81" w:rsidP="00520B3F">
            <w:pPr>
              <w:spacing w:after="0" w:line="240" w:lineRule="auto"/>
              <w:rPr>
                <w:rFonts w:ascii="Times New Roman" w:eastAsia="Arial" w:hAnsi="Times New Roman" w:cs="Times New Roman"/>
                <w:lang w:val="en-PH"/>
              </w:rPr>
            </w:pPr>
            <w:r w:rsidRPr="00E01B81">
              <w:rPr>
                <w:rFonts w:ascii="Times New Roman" w:eastAsia="Arial" w:hAnsi="Times New Roman" w:cs="Times New Roman"/>
                <w:lang w:val="en-PH"/>
              </w:rPr>
              <w:t>Zero trust segmentation of legacy networks until the integration is proven; 24x7 SOC monitoring; Seagen logs ingestion into SIEM on day 1; MFA &amp; PAM; tabletop exercise for a breach during an M&amp;A scenario; data mapping &amp; DPIA for HIPAA/GDPR</w:t>
            </w:r>
          </w:p>
        </w:tc>
      </w:tr>
      <w:tr w:rsidR="00520B3F" w:rsidRPr="00520B3F" w14:paraId="63E2CD10" w14:textId="77777777" w:rsidTr="002B492E">
        <w:tc>
          <w:tcPr>
            <w:tcW w:w="2340"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67C85CCD" w14:textId="77777777" w:rsidR="00520B3F" w:rsidRPr="00520B3F" w:rsidRDefault="00520B3F" w:rsidP="00520B3F">
            <w:pPr>
              <w:spacing w:after="0" w:line="240" w:lineRule="auto"/>
              <w:rPr>
                <w:rFonts w:ascii="Arial" w:eastAsia="Arial" w:hAnsi="Arial" w:cs="Arial"/>
                <w:lang w:val="en-PH"/>
              </w:rPr>
            </w:pPr>
            <w:r w:rsidRPr="00520B3F">
              <w:rPr>
                <w:rFonts w:ascii="Arial" w:eastAsia="Arial" w:hAnsi="Arial" w:cs="Arial"/>
                <w:b/>
                <w:bCs/>
                <w:sz w:val="18"/>
                <w:szCs w:val="18"/>
                <w:lang w:val="en-PH"/>
              </w:rPr>
              <w:lastRenderedPageBreak/>
              <w:t>Technology / IT risk</w:t>
            </w:r>
          </w:p>
        </w:tc>
        <w:tc>
          <w:tcPr>
            <w:tcW w:w="3322"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0C9D2102" w14:textId="6E04BB63" w:rsidR="00520B3F" w:rsidRPr="00E01B81" w:rsidRDefault="00E01B81" w:rsidP="00520B3F">
            <w:pPr>
              <w:spacing w:after="0" w:line="240" w:lineRule="auto"/>
              <w:rPr>
                <w:rFonts w:ascii="Times New Roman" w:eastAsia="Arial" w:hAnsi="Times New Roman" w:cs="Times New Roman"/>
                <w:lang w:val="en-PH"/>
              </w:rPr>
            </w:pPr>
            <w:r w:rsidRPr="00E01B81">
              <w:rPr>
                <w:rFonts w:ascii="Times New Roman" w:eastAsia="Arial" w:hAnsi="Times New Roman" w:cs="Times New Roman"/>
              </w:rPr>
              <w:t>Old system incompatible with the new system. Data migration failed, leading to mistakes in the data and service disruption for clinical trials. Shadow IT</w:t>
            </w:r>
          </w:p>
        </w:tc>
        <w:tc>
          <w:tcPr>
            <w:tcW w:w="3698"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0307F8DC" w14:textId="0CEFFE8A" w:rsidR="00520B3F" w:rsidRPr="007E512C" w:rsidRDefault="007E512C" w:rsidP="00520B3F">
            <w:pPr>
              <w:spacing w:after="0" w:line="240" w:lineRule="auto"/>
              <w:rPr>
                <w:rFonts w:ascii="Times New Roman" w:eastAsia="Arial" w:hAnsi="Times New Roman" w:cs="Times New Roman"/>
                <w:lang w:val="en-PH"/>
              </w:rPr>
            </w:pPr>
            <w:r w:rsidRPr="007E512C">
              <w:rPr>
                <w:rFonts w:ascii="Times New Roman" w:eastAsia="Arial" w:hAnsi="Times New Roman" w:cs="Times New Roman"/>
              </w:rPr>
              <w:t>Phased ERP/CTMS migration with parallel run, data integrity controls set in place per ALCOA+, SOX ITGC testing and documented change management board; system retirement plan outlined</w:t>
            </w:r>
          </w:p>
        </w:tc>
      </w:tr>
      <w:tr w:rsidR="00520B3F" w:rsidRPr="00520B3F" w14:paraId="2E516202" w14:textId="77777777" w:rsidTr="002B492E">
        <w:tc>
          <w:tcPr>
            <w:tcW w:w="2340"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0EE1C10D" w14:textId="77777777" w:rsidR="00520B3F" w:rsidRPr="00520B3F" w:rsidRDefault="00520B3F" w:rsidP="00520B3F">
            <w:pPr>
              <w:spacing w:after="0" w:line="240" w:lineRule="auto"/>
              <w:rPr>
                <w:rFonts w:ascii="Arial" w:eastAsia="Arial" w:hAnsi="Arial" w:cs="Arial"/>
                <w:lang w:val="en-PH"/>
              </w:rPr>
            </w:pPr>
            <w:r w:rsidRPr="00520B3F">
              <w:rPr>
                <w:rFonts w:ascii="Arial" w:eastAsia="Arial" w:hAnsi="Arial" w:cs="Arial"/>
                <w:b/>
                <w:bCs/>
                <w:sz w:val="18"/>
                <w:szCs w:val="18"/>
                <w:lang w:val="en-PH"/>
              </w:rPr>
              <w:t>Financial and market risk</w:t>
            </w:r>
          </w:p>
        </w:tc>
        <w:tc>
          <w:tcPr>
            <w:tcW w:w="3322"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05B7B8DD" w14:textId="2DDB0D66" w:rsidR="00520B3F" w:rsidRPr="007E512C" w:rsidRDefault="007E512C" w:rsidP="00520B3F">
            <w:pPr>
              <w:spacing w:after="0" w:line="240" w:lineRule="auto"/>
              <w:rPr>
                <w:rFonts w:ascii="Times New Roman" w:eastAsia="Arial" w:hAnsi="Times New Roman" w:cs="Times New Roman"/>
                <w:lang w:val="en-PH"/>
              </w:rPr>
            </w:pPr>
            <w:r w:rsidRPr="007E512C">
              <w:rPr>
                <w:rFonts w:ascii="Times New Roman" w:eastAsia="Arial" w:hAnsi="Times New Roman" w:cs="Times New Roman"/>
              </w:rPr>
              <w:t>Debt service overhang ($31B financed); Revenue decline for COVID drugs; IRA price negotiations; Currency swings</w:t>
            </w:r>
          </w:p>
        </w:tc>
        <w:tc>
          <w:tcPr>
            <w:tcW w:w="3698"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43B9F0B" w14:textId="479DD48D" w:rsidR="00520B3F" w:rsidRPr="007E512C" w:rsidRDefault="007E512C" w:rsidP="00520B3F">
            <w:pPr>
              <w:spacing w:after="0" w:line="240" w:lineRule="auto"/>
              <w:rPr>
                <w:rFonts w:ascii="Times New Roman" w:eastAsia="Arial" w:hAnsi="Times New Roman" w:cs="Times New Roman"/>
                <w:lang w:val="en-PH"/>
              </w:rPr>
            </w:pPr>
            <w:r w:rsidRPr="007E512C">
              <w:rPr>
                <w:rFonts w:ascii="Times New Roman" w:eastAsia="Arial" w:hAnsi="Times New Roman" w:cs="Times New Roman"/>
              </w:rPr>
              <w:t xml:space="preserve">Treasury hedge plan, monitoring of debt covenants, </w:t>
            </w:r>
            <w:r w:rsidRPr="007E512C">
              <w:rPr>
                <w:rFonts w:ascii="Times New Roman" w:eastAsia="Arial" w:hAnsi="Times New Roman" w:cs="Times New Roman"/>
              </w:rPr>
              <w:t>scenario-based</w:t>
            </w:r>
            <w:r w:rsidRPr="007E512C">
              <w:rPr>
                <w:rFonts w:ascii="Times New Roman" w:eastAsia="Arial" w:hAnsi="Times New Roman" w:cs="Times New Roman"/>
              </w:rPr>
              <w:t xml:space="preserve"> forecasting, investor transparency around synergy capture, and product-portfolio realignment to oncology</w:t>
            </w:r>
          </w:p>
        </w:tc>
      </w:tr>
      <w:tr w:rsidR="00520B3F" w:rsidRPr="00520B3F" w14:paraId="40FA5A1E" w14:textId="77777777" w:rsidTr="002B492E">
        <w:tc>
          <w:tcPr>
            <w:tcW w:w="2340"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0329A7B2" w14:textId="77777777" w:rsidR="00520B3F" w:rsidRPr="00520B3F" w:rsidRDefault="00520B3F" w:rsidP="00520B3F">
            <w:pPr>
              <w:spacing w:after="0" w:line="240" w:lineRule="auto"/>
              <w:rPr>
                <w:rFonts w:ascii="Arial" w:eastAsia="Arial" w:hAnsi="Arial" w:cs="Arial"/>
                <w:lang w:val="en-PH"/>
              </w:rPr>
            </w:pPr>
            <w:r w:rsidRPr="00520B3F">
              <w:rPr>
                <w:rFonts w:ascii="Arial" w:eastAsia="Arial" w:hAnsi="Arial" w:cs="Arial"/>
                <w:b/>
                <w:bCs/>
                <w:sz w:val="18"/>
                <w:szCs w:val="18"/>
                <w:lang w:val="en-PH"/>
              </w:rPr>
              <w:t>Competitive and strategic risk</w:t>
            </w:r>
          </w:p>
        </w:tc>
        <w:tc>
          <w:tcPr>
            <w:tcW w:w="3322"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7012F748" w14:textId="32562520" w:rsidR="00520B3F" w:rsidRPr="007E512C" w:rsidRDefault="007E512C" w:rsidP="00520B3F">
            <w:pPr>
              <w:spacing w:after="0" w:line="240" w:lineRule="auto"/>
              <w:rPr>
                <w:rFonts w:ascii="Times New Roman" w:eastAsia="Arial" w:hAnsi="Times New Roman" w:cs="Times New Roman"/>
                <w:lang w:val="en-PH"/>
              </w:rPr>
            </w:pPr>
            <w:r w:rsidRPr="007E512C">
              <w:rPr>
                <w:rFonts w:ascii="Times New Roman" w:hAnsi="Times New Roman" w:cs="Times New Roman"/>
              </w:rPr>
              <w:t xml:space="preserve">ADC arms race (AbbVie, Merck, BMS, Gilead, Daiichi Sankyo); Biosimilar / Generic erosion; </w:t>
            </w:r>
            <w:r w:rsidRPr="007E512C">
              <w:rPr>
                <w:rStyle w:val="bg-green-100"/>
                <w:rFonts w:ascii="Times New Roman" w:hAnsi="Times New Roman" w:cs="Times New Roman"/>
              </w:rPr>
              <w:t xml:space="preserve">Change </w:t>
            </w:r>
            <w:r w:rsidRPr="007E512C">
              <w:rPr>
                <w:rFonts w:ascii="Times New Roman" w:hAnsi="Times New Roman" w:cs="Times New Roman"/>
              </w:rPr>
              <w:t>in Payer mix</w:t>
            </w:r>
          </w:p>
        </w:tc>
        <w:tc>
          <w:tcPr>
            <w:tcW w:w="3698"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22A57807" w14:textId="7842DC87" w:rsidR="00520B3F" w:rsidRPr="002B492E" w:rsidRDefault="002B492E" w:rsidP="00520B3F">
            <w:pPr>
              <w:spacing w:after="0" w:line="240" w:lineRule="auto"/>
              <w:rPr>
                <w:rFonts w:ascii="Times New Roman" w:eastAsia="Arial" w:hAnsi="Times New Roman" w:cs="Times New Roman"/>
                <w:lang w:val="en-PH"/>
              </w:rPr>
            </w:pPr>
            <w:r w:rsidRPr="002B492E">
              <w:rPr>
                <w:rFonts w:ascii="Times New Roman" w:eastAsia="Arial" w:hAnsi="Times New Roman" w:cs="Times New Roman"/>
              </w:rPr>
              <w:t>Strategic-watch function; Competitor ADCs pipelines monitoring; Licensing &amp; Partnering office; ADCs in-line lifecycle management; Board-level Portfolio Governance Committee</w:t>
            </w:r>
          </w:p>
        </w:tc>
      </w:tr>
      <w:tr w:rsidR="00520B3F" w:rsidRPr="00520B3F" w14:paraId="1AD7BC1E" w14:textId="77777777" w:rsidTr="002B492E">
        <w:trPr>
          <w:trHeight w:val="1449"/>
        </w:trPr>
        <w:tc>
          <w:tcPr>
            <w:tcW w:w="2340"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5F6005DE" w14:textId="77777777" w:rsidR="00520B3F" w:rsidRPr="00520B3F" w:rsidRDefault="00520B3F" w:rsidP="00520B3F">
            <w:pPr>
              <w:spacing w:after="0" w:line="240" w:lineRule="auto"/>
              <w:rPr>
                <w:rFonts w:ascii="Arial" w:eastAsia="Arial" w:hAnsi="Arial" w:cs="Arial"/>
                <w:lang w:val="en-PH"/>
              </w:rPr>
            </w:pPr>
            <w:r w:rsidRPr="00520B3F">
              <w:rPr>
                <w:rFonts w:ascii="Arial" w:eastAsia="Arial" w:hAnsi="Arial" w:cs="Arial"/>
                <w:b/>
                <w:bCs/>
                <w:sz w:val="18"/>
                <w:szCs w:val="18"/>
                <w:lang w:val="en-PH"/>
              </w:rPr>
              <w:t>People and talent risk</w:t>
            </w:r>
          </w:p>
        </w:tc>
        <w:tc>
          <w:tcPr>
            <w:tcW w:w="3322"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01CDEEBE" w14:textId="3F54C6A9" w:rsidR="00520B3F" w:rsidRPr="007E512C" w:rsidRDefault="007E512C" w:rsidP="00520B3F">
            <w:pPr>
              <w:spacing w:after="0" w:line="240" w:lineRule="auto"/>
              <w:rPr>
                <w:rFonts w:ascii="Times New Roman" w:eastAsia="Arial" w:hAnsi="Times New Roman" w:cs="Times New Roman"/>
                <w:lang w:val="en-PH"/>
              </w:rPr>
            </w:pPr>
            <w:r w:rsidRPr="007E512C">
              <w:rPr>
                <w:rFonts w:ascii="Times New Roman" w:eastAsia="Arial" w:hAnsi="Times New Roman" w:cs="Times New Roman"/>
              </w:rPr>
              <w:t>Loss of key personnel; Integration cultural clash; shortage of talent in oncology</w:t>
            </w:r>
          </w:p>
        </w:tc>
        <w:tc>
          <w:tcPr>
            <w:tcW w:w="3698"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5A74AB56" w14:textId="77777777" w:rsidR="002B492E" w:rsidRPr="002B492E" w:rsidRDefault="002B492E" w:rsidP="002B492E">
            <w:pPr>
              <w:spacing w:after="0" w:line="240" w:lineRule="auto"/>
              <w:rPr>
                <w:rFonts w:ascii="Times New Roman" w:eastAsia="Arial" w:hAnsi="Times New Roman" w:cs="Times New Roman"/>
              </w:rPr>
            </w:pPr>
            <w:r w:rsidRPr="002B492E">
              <w:rPr>
                <w:rFonts w:ascii="Times New Roman" w:eastAsia="Arial" w:hAnsi="Times New Roman" w:cs="Times New Roman"/>
              </w:rPr>
              <w:t>Retention and Equity programs; Succession plans for key functions; cultural integration working teams; investment in ADC science learning &amp; development</w:t>
            </w:r>
          </w:p>
          <w:p w14:paraId="544CA160" w14:textId="035D4B05" w:rsidR="00520B3F" w:rsidRPr="002B492E" w:rsidRDefault="00520B3F" w:rsidP="00520B3F">
            <w:pPr>
              <w:spacing w:after="0" w:line="240" w:lineRule="auto"/>
              <w:rPr>
                <w:rFonts w:ascii="Times New Roman" w:eastAsia="Arial" w:hAnsi="Times New Roman" w:cs="Times New Roman"/>
                <w:lang w:val="en-PH"/>
              </w:rPr>
            </w:pPr>
          </w:p>
        </w:tc>
      </w:tr>
      <w:tr w:rsidR="00520B3F" w:rsidRPr="00520B3F" w14:paraId="592AA828" w14:textId="77777777" w:rsidTr="002B492E">
        <w:tc>
          <w:tcPr>
            <w:tcW w:w="2340" w:type="dxa"/>
            <w:tcBorders>
              <w:top w:val="single" w:sz="6" w:space="0" w:color="808080"/>
              <w:left w:val="single" w:sz="6" w:space="0" w:color="808080"/>
              <w:bottom w:val="single" w:sz="6" w:space="0" w:color="808080"/>
              <w:right w:val="single" w:sz="6" w:space="0" w:color="808080"/>
            </w:tcBorders>
            <w:shd w:val="clear" w:color="auto" w:fill="D9E2F3"/>
            <w:tcMar>
              <w:top w:w="120" w:type="dxa"/>
              <w:left w:w="160" w:type="dxa"/>
              <w:bottom w:w="120" w:type="dxa"/>
              <w:right w:w="160" w:type="dxa"/>
            </w:tcMar>
          </w:tcPr>
          <w:p w14:paraId="61588604" w14:textId="77777777" w:rsidR="00520B3F" w:rsidRPr="00520B3F" w:rsidRDefault="00520B3F" w:rsidP="00520B3F">
            <w:pPr>
              <w:spacing w:after="0" w:line="240" w:lineRule="auto"/>
              <w:rPr>
                <w:rFonts w:ascii="Arial" w:eastAsia="Arial" w:hAnsi="Arial" w:cs="Arial"/>
                <w:lang w:val="en-PH"/>
              </w:rPr>
            </w:pPr>
            <w:r w:rsidRPr="00520B3F">
              <w:rPr>
                <w:rFonts w:ascii="Arial" w:eastAsia="Arial" w:hAnsi="Arial" w:cs="Arial"/>
                <w:b/>
                <w:bCs/>
                <w:sz w:val="18"/>
                <w:szCs w:val="18"/>
                <w:lang w:val="en-PH"/>
              </w:rPr>
              <w:t>Compliance, legal and ESG risk</w:t>
            </w:r>
          </w:p>
        </w:tc>
        <w:tc>
          <w:tcPr>
            <w:tcW w:w="3322"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1C1A2D5C" w14:textId="7BEC169C" w:rsidR="00520B3F" w:rsidRPr="007E512C" w:rsidRDefault="007E512C" w:rsidP="00520B3F">
            <w:pPr>
              <w:spacing w:after="0" w:line="240" w:lineRule="auto"/>
              <w:rPr>
                <w:rFonts w:ascii="Times New Roman" w:eastAsia="Arial" w:hAnsi="Times New Roman" w:cs="Times New Roman"/>
                <w:lang w:val="en-PH"/>
              </w:rPr>
            </w:pPr>
            <w:r w:rsidRPr="007E512C">
              <w:rPr>
                <w:rFonts w:ascii="Times New Roman" w:eastAsia="Arial" w:hAnsi="Times New Roman" w:cs="Times New Roman"/>
              </w:rPr>
              <w:t>FTC/antitrust review; product liability; anti-bribery (FCPA); patient access/ESG standards</w:t>
            </w:r>
          </w:p>
        </w:tc>
        <w:tc>
          <w:tcPr>
            <w:tcW w:w="3698" w:type="dxa"/>
            <w:tcBorders>
              <w:top w:val="single" w:sz="6" w:space="0" w:color="808080"/>
              <w:left w:val="single" w:sz="6" w:space="0" w:color="808080"/>
              <w:bottom w:val="single" w:sz="6" w:space="0" w:color="808080"/>
              <w:right w:val="single" w:sz="6" w:space="0" w:color="808080"/>
            </w:tcBorders>
            <w:tcMar>
              <w:top w:w="120" w:type="dxa"/>
              <w:left w:w="160" w:type="dxa"/>
              <w:bottom w:w="120" w:type="dxa"/>
              <w:right w:w="160" w:type="dxa"/>
            </w:tcMar>
          </w:tcPr>
          <w:p w14:paraId="334AD719" w14:textId="1A93F222" w:rsidR="00520B3F" w:rsidRPr="002B492E" w:rsidRDefault="002B492E" w:rsidP="00520B3F">
            <w:pPr>
              <w:spacing w:after="0" w:line="240" w:lineRule="auto"/>
              <w:rPr>
                <w:rFonts w:ascii="Times New Roman" w:eastAsia="Arial" w:hAnsi="Times New Roman" w:cs="Times New Roman"/>
                <w:lang w:val="en-PH"/>
              </w:rPr>
            </w:pPr>
            <w:r w:rsidRPr="002B492E">
              <w:rPr>
                <w:rFonts w:ascii="Times New Roman" w:eastAsia="Arial" w:hAnsi="Times New Roman" w:cs="Times New Roman"/>
              </w:rPr>
              <w:t xml:space="preserve">Compliance Committee review and reporting; </w:t>
            </w:r>
            <w:r w:rsidRPr="002B492E">
              <w:rPr>
                <w:rFonts w:ascii="Times New Roman" w:eastAsia="Arial" w:hAnsi="Times New Roman" w:cs="Times New Roman"/>
              </w:rPr>
              <w:t>pre-clearance</w:t>
            </w:r>
            <w:r w:rsidRPr="002B492E">
              <w:rPr>
                <w:rFonts w:ascii="Times New Roman" w:eastAsia="Arial" w:hAnsi="Times New Roman" w:cs="Times New Roman"/>
              </w:rPr>
              <w:t xml:space="preserve"> of high-risk markets; enhanced internal audit coverage; ESG disclosure with SASB and TCFD alignment; Board Risk Committee review</w:t>
            </w:r>
          </w:p>
        </w:tc>
      </w:tr>
    </w:tbl>
    <w:p w14:paraId="40F236D4" w14:textId="77777777" w:rsidR="00520B3F" w:rsidRPr="00520B3F" w:rsidRDefault="00520B3F" w:rsidP="00935536">
      <w:pPr>
        <w:pStyle w:val="ListParagraph"/>
        <w:rPr>
          <w:rFonts w:ascii="Times New Roman" w:hAnsi="Times New Roman" w:cs="Times New Roman"/>
          <w:sz w:val="24"/>
          <w:szCs w:val="24"/>
        </w:rPr>
      </w:pPr>
    </w:p>
    <w:p w14:paraId="72041C3E" w14:textId="4CD1320B" w:rsidR="00D85B19" w:rsidRPr="00935536" w:rsidRDefault="00D85B19" w:rsidP="00935536">
      <w:pPr>
        <w:pStyle w:val="ListParagraph"/>
        <w:numPr>
          <w:ilvl w:val="0"/>
          <w:numId w:val="1"/>
        </w:numPr>
        <w:rPr>
          <w:rFonts w:ascii="Georgia" w:hAnsi="Georgia"/>
          <w:b/>
          <w:bCs/>
          <w:sz w:val="32"/>
          <w:szCs w:val="32"/>
        </w:rPr>
      </w:pPr>
      <w:r w:rsidRPr="00935536">
        <w:rPr>
          <w:rFonts w:ascii="Georgia" w:hAnsi="Georgia"/>
          <w:b/>
          <w:bCs/>
          <w:sz w:val="32"/>
          <w:szCs w:val="32"/>
        </w:rPr>
        <w:t xml:space="preserve">Technical Risk and Information- Security Risk </w:t>
      </w:r>
    </w:p>
    <w:p w14:paraId="4E9D63A1" w14:textId="0D68369F" w:rsidR="00D85B19" w:rsidRPr="00D85B19" w:rsidRDefault="00D85B19" w:rsidP="00D85B19">
      <w:pPr>
        <w:ind w:left="360"/>
        <w:rPr>
          <w:rFonts w:ascii="Georgia" w:hAnsi="Georgia"/>
          <w:i/>
          <w:iCs/>
          <w:sz w:val="18"/>
          <w:szCs w:val="18"/>
        </w:rPr>
      </w:pPr>
      <w:r w:rsidRPr="00D85B19">
        <w:rPr>
          <w:rFonts w:ascii="Georgia" w:hAnsi="Georgia"/>
          <w:i/>
          <w:iCs/>
          <w:sz w:val="18"/>
          <w:szCs w:val="18"/>
        </w:rPr>
        <w:t>Prepared by Princess</w:t>
      </w:r>
    </w:p>
    <w:p w14:paraId="495922A4" w14:textId="0C751A0C" w:rsidR="00D85B19" w:rsidRDefault="00D85B19" w:rsidP="00D85B19">
      <w:pPr>
        <w:pStyle w:val="ListParagraph"/>
        <w:spacing w:after="0"/>
        <w:rPr>
          <w:rFonts w:ascii="Georgia" w:hAnsi="Georgia" w:cs="Geeza Pro"/>
        </w:rPr>
      </w:pPr>
      <w:r w:rsidRPr="00D85B19">
        <w:rPr>
          <w:rFonts w:ascii="Georgia" w:hAnsi="Georgia" w:cs="Geeza Pro"/>
        </w:rPr>
        <w:t>Technical risk and information security risk are highlighted separately because both are inherent to a pharma integration of this magnitude. Pfizer must integrate Seagen's CTMS, MES, ERP system, electronic lab notebooks, and ePHI database into Pfizer's platform without impacting GxP processes or disrupting FDA approvals of trials.</w:t>
      </w:r>
    </w:p>
    <w:p w14:paraId="2554994A" w14:textId="772F5049" w:rsidR="00D85B19" w:rsidRDefault="00D85B19" w:rsidP="00D85B19">
      <w:pPr>
        <w:spacing w:after="0"/>
        <w:rPr>
          <w:rFonts w:ascii="Georgia" w:hAnsi="Georgia"/>
        </w:rPr>
      </w:pPr>
    </w:p>
    <w:p w14:paraId="0125C397" w14:textId="6651A4FB" w:rsidR="00935536" w:rsidRDefault="00935536" w:rsidP="00D85B19">
      <w:pPr>
        <w:spacing w:after="0"/>
        <w:rPr>
          <w:rFonts w:ascii="Georgia" w:hAnsi="Georgia"/>
        </w:rPr>
      </w:pPr>
    </w:p>
    <w:p w14:paraId="65330FF7" w14:textId="77777777" w:rsidR="00935536" w:rsidRDefault="00935536" w:rsidP="00D85B19">
      <w:pPr>
        <w:spacing w:after="0"/>
        <w:rPr>
          <w:rFonts w:ascii="Georgia" w:hAnsi="Georgia"/>
        </w:rPr>
      </w:pPr>
    </w:p>
    <w:p w14:paraId="74676447" w14:textId="38D1F39F" w:rsidR="00D85B19" w:rsidRDefault="00D85B19" w:rsidP="00D85B19">
      <w:pPr>
        <w:pStyle w:val="ListParagraph"/>
        <w:numPr>
          <w:ilvl w:val="1"/>
          <w:numId w:val="1"/>
        </w:numPr>
        <w:rPr>
          <w:rFonts w:ascii="Georgia" w:hAnsi="Georgia"/>
          <w:b/>
          <w:bCs/>
          <w:sz w:val="28"/>
          <w:szCs w:val="28"/>
        </w:rPr>
      </w:pPr>
      <w:r w:rsidRPr="00D85B19">
        <w:rPr>
          <w:rFonts w:ascii="Georgia" w:hAnsi="Georgia"/>
          <w:b/>
          <w:bCs/>
          <w:sz w:val="28"/>
          <w:szCs w:val="28"/>
        </w:rPr>
        <w:t>Technical Risk</w:t>
      </w:r>
    </w:p>
    <w:p w14:paraId="4C454069" w14:textId="5F82DF25" w:rsidR="00935536" w:rsidRPr="00935536" w:rsidRDefault="00935536" w:rsidP="00935536">
      <w:pPr>
        <w:ind w:firstLine="360"/>
        <w:rPr>
          <w:rFonts w:ascii="Georgia" w:hAnsi="Georgia"/>
          <w:i/>
          <w:iCs/>
          <w:sz w:val="18"/>
          <w:szCs w:val="18"/>
        </w:rPr>
      </w:pPr>
      <w:r w:rsidRPr="00935536">
        <w:rPr>
          <w:rFonts w:ascii="Georgia" w:hAnsi="Georgia"/>
          <w:i/>
          <w:iCs/>
          <w:sz w:val="18"/>
          <w:szCs w:val="18"/>
        </w:rPr>
        <w:t xml:space="preserve">Prepared by </w:t>
      </w:r>
      <w:r>
        <w:rPr>
          <w:rFonts w:ascii="Georgia" w:hAnsi="Georgia"/>
          <w:i/>
          <w:iCs/>
          <w:sz w:val="18"/>
          <w:szCs w:val="18"/>
        </w:rPr>
        <w:t>Dike</w:t>
      </w:r>
    </w:p>
    <w:p w14:paraId="697BF067" w14:textId="77777777" w:rsidR="00935536" w:rsidRPr="00935536" w:rsidRDefault="00935536" w:rsidP="00935536">
      <w:pPr>
        <w:ind w:left="360"/>
        <w:rPr>
          <w:rFonts w:ascii="Georgia" w:hAnsi="Georgia"/>
          <w:b/>
          <w:bCs/>
          <w:sz w:val="28"/>
          <w:szCs w:val="28"/>
        </w:rPr>
      </w:pPr>
    </w:p>
    <w:p w14:paraId="4067E797" w14:textId="77777777" w:rsidR="00D85B19" w:rsidRPr="00D85B19" w:rsidRDefault="00D85B19" w:rsidP="00D85B19">
      <w:pPr>
        <w:pStyle w:val="ListParagraph"/>
        <w:ind w:left="1080"/>
        <w:rPr>
          <w:rFonts w:ascii="Georgia" w:hAnsi="Georgia"/>
          <w:b/>
          <w:bCs/>
          <w:sz w:val="28"/>
          <w:szCs w:val="28"/>
        </w:rPr>
      </w:pPr>
    </w:p>
    <w:p w14:paraId="7A7EFAC5" w14:textId="71E66057" w:rsidR="00D85B19" w:rsidRDefault="00D85B19" w:rsidP="00D85B19">
      <w:pPr>
        <w:pStyle w:val="ListParagraph"/>
        <w:numPr>
          <w:ilvl w:val="1"/>
          <w:numId w:val="1"/>
        </w:numPr>
        <w:rPr>
          <w:rFonts w:ascii="Georgia" w:hAnsi="Georgia"/>
          <w:b/>
          <w:bCs/>
          <w:sz w:val="28"/>
          <w:szCs w:val="28"/>
        </w:rPr>
      </w:pPr>
      <w:r w:rsidRPr="00D85B19">
        <w:rPr>
          <w:rFonts w:ascii="Georgia" w:hAnsi="Georgia"/>
          <w:b/>
          <w:bCs/>
          <w:sz w:val="28"/>
          <w:szCs w:val="28"/>
        </w:rPr>
        <w:t>Information- Security Risk</w:t>
      </w:r>
    </w:p>
    <w:p w14:paraId="06C7455F" w14:textId="2CD7299B" w:rsidR="00935536" w:rsidRPr="00935536" w:rsidRDefault="00935536" w:rsidP="00935536">
      <w:pPr>
        <w:ind w:firstLine="360"/>
        <w:rPr>
          <w:rFonts w:ascii="Georgia" w:hAnsi="Georgia"/>
          <w:i/>
          <w:iCs/>
          <w:sz w:val="18"/>
          <w:szCs w:val="18"/>
        </w:rPr>
      </w:pPr>
      <w:r w:rsidRPr="00935536">
        <w:rPr>
          <w:rFonts w:ascii="Georgia" w:hAnsi="Georgia"/>
          <w:i/>
          <w:iCs/>
          <w:sz w:val="18"/>
          <w:szCs w:val="18"/>
        </w:rPr>
        <w:t xml:space="preserve">Prepared by </w:t>
      </w:r>
      <w:r>
        <w:rPr>
          <w:rFonts w:ascii="Georgia" w:hAnsi="Georgia"/>
          <w:i/>
          <w:iCs/>
          <w:sz w:val="18"/>
          <w:szCs w:val="18"/>
        </w:rPr>
        <w:t>Stella</w:t>
      </w:r>
    </w:p>
    <w:p w14:paraId="733CF882" w14:textId="77777777" w:rsidR="00D85B19" w:rsidRPr="00935536" w:rsidRDefault="00D85B19" w:rsidP="00935536">
      <w:pPr>
        <w:rPr>
          <w:rFonts w:ascii="Georgia" w:hAnsi="Georgia"/>
          <w:b/>
          <w:bCs/>
          <w:sz w:val="28"/>
          <w:szCs w:val="28"/>
        </w:rPr>
      </w:pPr>
    </w:p>
    <w:p w14:paraId="2E0AE697" w14:textId="77777777" w:rsidR="00D85B19" w:rsidRDefault="00D85B19" w:rsidP="00D85B19">
      <w:pPr>
        <w:pStyle w:val="ListParagraph"/>
        <w:ind w:left="1080"/>
        <w:rPr>
          <w:rFonts w:ascii="Georgia" w:hAnsi="Georgia"/>
          <w:b/>
          <w:bCs/>
          <w:sz w:val="28"/>
          <w:szCs w:val="28"/>
        </w:rPr>
      </w:pPr>
    </w:p>
    <w:p w14:paraId="48647F60" w14:textId="72523269" w:rsidR="00D85B19" w:rsidRDefault="00D85B19" w:rsidP="00D85B19">
      <w:pPr>
        <w:pStyle w:val="ListParagraph"/>
        <w:numPr>
          <w:ilvl w:val="0"/>
          <w:numId w:val="1"/>
        </w:numPr>
        <w:rPr>
          <w:rFonts w:ascii="Georgia" w:hAnsi="Georgia"/>
          <w:b/>
          <w:bCs/>
          <w:sz w:val="32"/>
          <w:szCs w:val="32"/>
        </w:rPr>
      </w:pPr>
      <w:r w:rsidRPr="00D85B19">
        <w:rPr>
          <w:rFonts w:ascii="Georgia" w:hAnsi="Georgia"/>
          <w:b/>
          <w:bCs/>
          <w:sz w:val="32"/>
          <w:szCs w:val="32"/>
        </w:rPr>
        <w:t>Conclusion</w:t>
      </w:r>
    </w:p>
    <w:p w14:paraId="245C00B1" w14:textId="77777777" w:rsidR="00935536" w:rsidRPr="00935536" w:rsidRDefault="00935536" w:rsidP="00935536">
      <w:pPr>
        <w:ind w:left="360"/>
        <w:rPr>
          <w:rFonts w:ascii="Georgia" w:hAnsi="Georgia"/>
          <w:i/>
          <w:iCs/>
          <w:sz w:val="18"/>
          <w:szCs w:val="18"/>
        </w:rPr>
      </w:pPr>
      <w:r w:rsidRPr="00935536">
        <w:rPr>
          <w:rFonts w:ascii="Georgia" w:hAnsi="Georgia"/>
          <w:i/>
          <w:iCs/>
          <w:sz w:val="18"/>
          <w:szCs w:val="18"/>
        </w:rPr>
        <w:t>Prepared by Stella</w:t>
      </w:r>
    </w:p>
    <w:p w14:paraId="5664EAB1" w14:textId="77777777" w:rsidR="00935536" w:rsidRPr="00935536" w:rsidRDefault="00935536" w:rsidP="00935536">
      <w:pPr>
        <w:ind w:left="360"/>
        <w:rPr>
          <w:rFonts w:ascii="Georgia" w:hAnsi="Georgia"/>
          <w:b/>
          <w:bCs/>
          <w:sz w:val="32"/>
          <w:szCs w:val="32"/>
        </w:rPr>
      </w:pPr>
    </w:p>
    <w:p w14:paraId="11850DC7" w14:textId="40A39ECD" w:rsidR="00D85B19" w:rsidRDefault="00D85B19" w:rsidP="00D85B19">
      <w:pPr>
        <w:rPr>
          <w:rFonts w:ascii="Georgia" w:hAnsi="Georgia"/>
          <w:b/>
          <w:bCs/>
          <w:sz w:val="32"/>
          <w:szCs w:val="32"/>
        </w:rPr>
      </w:pPr>
    </w:p>
    <w:p w14:paraId="600FF9CF" w14:textId="5D21608D" w:rsidR="00D85B19" w:rsidRDefault="00D85B19" w:rsidP="00F666A3">
      <w:pPr>
        <w:ind w:firstLine="360"/>
        <w:rPr>
          <w:rFonts w:ascii="Georgia" w:hAnsi="Georgia"/>
          <w:b/>
          <w:bCs/>
          <w:sz w:val="32"/>
          <w:szCs w:val="32"/>
        </w:rPr>
      </w:pPr>
      <w:r>
        <w:rPr>
          <w:rFonts w:ascii="Georgia" w:hAnsi="Georgia"/>
          <w:b/>
          <w:bCs/>
          <w:sz w:val="32"/>
          <w:szCs w:val="32"/>
        </w:rPr>
        <w:t>References</w:t>
      </w:r>
    </w:p>
    <w:p w14:paraId="6481E061" w14:textId="77777777" w:rsidR="00D85B19" w:rsidRPr="00D85B19" w:rsidRDefault="00D85B19" w:rsidP="00D85B19">
      <w:pPr>
        <w:rPr>
          <w:rFonts w:ascii="Georgia" w:hAnsi="Georgia"/>
          <w:b/>
          <w:bCs/>
          <w:sz w:val="32"/>
          <w:szCs w:val="32"/>
        </w:rPr>
      </w:pPr>
    </w:p>
    <w:sectPr w:rsidR="00D85B19" w:rsidRPr="00D85B19" w:rsidSect="004E0225">
      <w:pgSz w:w="15840" w:h="12240" w:orient="landscape" w:code="1"/>
      <w:pgMar w:top="1440" w:right="1440" w:bottom="1440" w:left="1440" w:header="58" w:footer="720" w:gutter="0"/>
      <w:cols w:space="720"/>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eza Pro">
    <w:charset w:val="B2"/>
    <w:family w:val="auto"/>
    <w:pitch w:val="variable"/>
    <w:sig w:usb0="80002001"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473B"/>
    <w:multiLevelType w:val="multilevel"/>
    <w:tmpl w:val="699CFEA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1" w15:restartNumberingAfterBreak="0">
    <w:nsid w:val="6BC4167F"/>
    <w:multiLevelType w:val="hybridMultilevel"/>
    <w:tmpl w:val="736C8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F41455"/>
    <w:multiLevelType w:val="hybridMultilevel"/>
    <w:tmpl w:val="A9CEB868"/>
    <w:lvl w:ilvl="0" w:tplc="04090001">
      <w:start w:val="1"/>
      <w:numFmt w:val="bullet"/>
      <w:lvlText w:val=""/>
      <w:lvlJc w:val="left"/>
      <w:pPr>
        <w:ind w:left="720" w:hanging="360"/>
      </w:pPr>
      <w:rPr>
        <w:rFonts w:ascii="Symbol" w:hAnsi="Symbol" w:hint="default"/>
      </w:rPr>
    </w:lvl>
    <w:lvl w:ilvl="1" w:tplc="F850DD4C">
      <w:numFmt w:val="bullet"/>
      <w:lvlText w:val="•"/>
      <w:lvlJc w:val="left"/>
      <w:pPr>
        <w:ind w:left="1800" w:hanging="720"/>
      </w:pPr>
      <w:rPr>
        <w:rFonts w:ascii="Georgia" w:eastAsiaTheme="minorHAnsi" w:hAnsi="Georg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7638001">
    <w:abstractNumId w:val="0"/>
  </w:num>
  <w:num w:numId="2" w16cid:durableId="778373983">
    <w:abstractNumId w:val="2"/>
  </w:num>
  <w:num w:numId="3" w16cid:durableId="80886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281"/>
  <w:drawingGridVerticalSpacing w:val="191"/>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225"/>
    <w:rsid w:val="00245FAC"/>
    <w:rsid w:val="002B492E"/>
    <w:rsid w:val="004A7562"/>
    <w:rsid w:val="004E0225"/>
    <w:rsid w:val="00520B3F"/>
    <w:rsid w:val="00720BB2"/>
    <w:rsid w:val="007E512C"/>
    <w:rsid w:val="00933C5B"/>
    <w:rsid w:val="00935536"/>
    <w:rsid w:val="00A91E6B"/>
    <w:rsid w:val="00B22A53"/>
    <w:rsid w:val="00B31E0A"/>
    <w:rsid w:val="00BC4366"/>
    <w:rsid w:val="00C0460D"/>
    <w:rsid w:val="00CE29B3"/>
    <w:rsid w:val="00D85B19"/>
    <w:rsid w:val="00E01B81"/>
    <w:rsid w:val="00EB4FED"/>
    <w:rsid w:val="00F66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C4943"/>
  <w15:chartTrackingRefBased/>
  <w15:docId w15:val="{3B747234-C1F6-4A1A-83FC-EFAE56FBF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link w:val="Heading2Char"/>
    <w:uiPriority w:val="9"/>
    <w:unhideWhenUsed/>
    <w:qFormat/>
    <w:rsid w:val="00D85B19"/>
    <w:pPr>
      <w:spacing w:before="200" w:after="120" w:line="240" w:lineRule="auto"/>
      <w:outlineLvl w:val="1"/>
    </w:pPr>
    <w:rPr>
      <w:rFonts w:ascii="Arial" w:eastAsia="Arial" w:hAnsi="Arial" w:cs="Arial"/>
      <w:b/>
      <w:bCs/>
      <w:color w:val="2E5395"/>
      <w:sz w:val="26"/>
      <w:szCs w:val="26"/>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0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460D"/>
    <w:pPr>
      <w:ind w:left="720"/>
      <w:contextualSpacing/>
    </w:pPr>
  </w:style>
  <w:style w:type="character" w:customStyle="1" w:styleId="Heading2Char">
    <w:name w:val="Heading 2 Char"/>
    <w:basedOn w:val="DefaultParagraphFont"/>
    <w:link w:val="Heading2"/>
    <w:uiPriority w:val="9"/>
    <w:rsid w:val="00D85B19"/>
    <w:rPr>
      <w:rFonts w:ascii="Arial" w:eastAsia="Arial" w:hAnsi="Arial" w:cs="Arial"/>
      <w:b/>
      <w:bCs/>
      <w:color w:val="2E5395"/>
      <w:sz w:val="26"/>
      <w:szCs w:val="26"/>
      <w:lang w:val="en-PH"/>
    </w:rPr>
  </w:style>
  <w:style w:type="character" w:customStyle="1" w:styleId="bg-green-100">
    <w:name w:val="bg-green-100"/>
    <w:basedOn w:val="DefaultParagraphFont"/>
    <w:rsid w:val="007E5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B580B8D9D5C8479EB29463B3488F37" ma:contentTypeVersion="42" ma:contentTypeDescription="Create a new document." ma:contentTypeScope="" ma:versionID="69069ed5fe7b373630cc1ed640b4412c">
  <xsd:schema xmlns:xsd="http://www.w3.org/2001/XMLSchema" xmlns:xs="http://www.w3.org/2001/XMLSchema" xmlns:p="http://schemas.microsoft.com/office/2006/metadata/properties" xmlns:ns1="http://schemas.microsoft.com/sharepoint/v3" xmlns:ns3="2ce5a41f-70b1-4141-9727-236556690c4c" xmlns:ns4="a323f3c1-1107-402b-9567-903e45c352ff" targetNamespace="http://schemas.microsoft.com/office/2006/metadata/properties" ma:root="true" ma:fieldsID="214e89828cac9c05164b01a359f64201" ns1:_="" ns3:_="" ns4:_="">
    <xsd:import namespace="http://schemas.microsoft.com/sharepoint/v3"/>
    <xsd:import namespace="2ce5a41f-70b1-4141-9727-236556690c4c"/>
    <xsd:import namespace="a323f3c1-1107-402b-9567-903e45c352ff"/>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Leaders" minOccurs="0"/>
                <xsd:element ref="ns3:Members" minOccurs="0"/>
                <xsd:element ref="ns3:Member_Groups" minOccurs="0"/>
                <xsd:element ref="ns3:Invited_Leaders" minOccurs="0"/>
                <xsd:element ref="ns3:Invited_Members" minOccurs="0"/>
                <xsd:element ref="ns3:Has_Leaders_Only_SectionGroup" minOccurs="0"/>
                <xsd:element ref="ns3: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description="" ma:hidden="true" ma:internalName="_ip_UnifiedCompliancePolicyProperties">
      <xsd:simpleType>
        <xsd:restriction base="dms:Note"/>
      </xsd:simpleType>
    </xsd:element>
    <xsd:element name="_ip_UnifiedCompliancePolicyUIAction" ma:index="9"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e5a41f-70b1-4141-9727-236556690c4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NotebookType" ma:index="23" nillable="true" ma:displayName="Notebook Type" ma:internalName="NotebookType">
      <xsd:simpleType>
        <xsd:restriction base="dms:Text"/>
      </xsd:simpleType>
    </xsd:element>
    <xsd:element name="FolderType" ma:index="24" nillable="true" ma:displayName="Folder Type" ma:internalName="FolderType">
      <xsd:simpleType>
        <xsd:restriction base="dms:Text"/>
      </xsd:simpleType>
    </xsd:element>
    <xsd:element name="CultureName" ma:index="25" nillable="true" ma:displayName="Culture Name" ma:internalName="CultureName">
      <xsd:simpleType>
        <xsd:restriction base="dms:Text"/>
      </xsd:simpleType>
    </xsd:element>
    <xsd:element name="AppVersion" ma:index="26" nillable="true" ma:displayName="App Version" ma:internalName="AppVersion">
      <xsd:simpleType>
        <xsd:restriction base="dms:Text"/>
      </xsd:simpleType>
    </xsd:element>
    <xsd:element name="TeamsChannelId" ma:index="27" nillable="true" ma:displayName="Teams Channel Id" ma:internalName="TeamsChannelId">
      <xsd:simpleType>
        <xsd:restriction base="dms:Text"/>
      </xsd:simpleType>
    </xsd:element>
    <xsd:element name="Owner" ma:index="2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9" nillable="true" ma:displayName="Math Settings" ma:internalName="Math_Settings">
      <xsd:simpleType>
        <xsd:restriction base="dms:Text"/>
      </xsd:simpleType>
    </xsd:element>
    <xsd:element name="DefaultSectionNames" ma:index="30" nillable="true" ma:displayName="Default Section Names" ma:internalName="DefaultSectionNames">
      <xsd:simpleType>
        <xsd:restriction base="dms:Note">
          <xsd:maxLength value="255"/>
        </xsd:restriction>
      </xsd:simpleType>
    </xsd:element>
    <xsd:element name="Templates" ma:index="31" nillable="true" ma:displayName="Templates" ma:internalName="Templates">
      <xsd:simpleType>
        <xsd:restriction base="dms:Note">
          <xsd:maxLength value="255"/>
        </xsd:restriction>
      </xsd:simpleType>
    </xsd:element>
    <xsd:element name="Teachers" ma:index="32"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3"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4"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5" nillable="true" ma:displayName="Distribution Groups" ma:internalName="Distribution_Groups">
      <xsd:simpleType>
        <xsd:restriction base="dms:Note">
          <xsd:maxLength value="255"/>
        </xsd:restriction>
      </xsd:simpleType>
    </xsd:element>
    <xsd:element name="LMS_Mappings" ma:index="36" nillable="true" ma:displayName="LMS Mappings" ma:internalName="LMS_Mappings">
      <xsd:simpleType>
        <xsd:restriction base="dms:Note">
          <xsd:maxLength value="255"/>
        </xsd:restriction>
      </xsd:simpleType>
    </xsd:element>
    <xsd:element name="Invited_Teachers" ma:index="37" nillable="true" ma:displayName="Invited Teachers" ma:internalName="Invited_Teachers">
      <xsd:simpleType>
        <xsd:restriction base="dms:Note">
          <xsd:maxLength value="255"/>
        </xsd:restriction>
      </xsd:simpleType>
    </xsd:element>
    <xsd:element name="Invited_Students" ma:index="38" nillable="true" ma:displayName="Invited Students" ma:internalName="Invited_Students">
      <xsd:simpleType>
        <xsd:restriction base="dms:Note">
          <xsd:maxLength value="255"/>
        </xsd:restriction>
      </xsd:simpleType>
    </xsd:element>
    <xsd:element name="Self_Registration_Enabled" ma:index="39" nillable="true" ma:displayName="Self Registration Enabled" ma:internalName="Self_Registration_Enabled">
      <xsd:simpleType>
        <xsd:restriction base="dms:Boolean"/>
      </xsd:simpleType>
    </xsd:element>
    <xsd:element name="Has_Teacher_Only_SectionGroup" ma:index="40" nillable="true" ma:displayName="Has Teacher Only SectionGroup" ma:internalName="Has_Teacher_Only_SectionGroup">
      <xsd:simpleType>
        <xsd:restriction base="dms:Boolean"/>
      </xsd:simpleType>
    </xsd:element>
    <xsd:element name="Is_Collaboration_Space_Locked" ma:index="41" nillable="true" ma:displayName="Is Collaboration Space Locked" ma:internalName="Is_Collaboration_Space_Locked">
      <xsd:simpleType>
        <xsd:restriction base="dms:Boolean"/>
      </xsd:simpleType>
    </xsd:element>
    <xsd:element name="IsNotebookLocked" ma:index="42" nillable="true" ma:displayName="Is Notebook Locked" ma:internalName="IsNotebookLocked">
      <xsd:simpleType>
        <xsd:restriction base="dms:Boolean"/>
      </xsd:simpleType>
    </xsd:element>
    <xsd:element name="Leaders" ma:index="43"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44"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45"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6" nillable="true" ma:displayName="Invited Leaders" ma:internalName="Invited_Leaders">
      <xsd:simpleType>
        <xsd:restriction base="dms:Note">
          <xsd:maxLength value="255"/>
        </xsd:restriction>
      </xsd:simpleType>
    </xsd:element>
    <xsd:element name="Invited_Members" ma:index="47" nillable="true" ma:displayName="Invited Members" ma:internalName="Invited_Members">
      <xsd:simpleType>
        <xsd:restriction base="dms:Note">
          <xsd:maxLength value="255"/>
        </xsd:restriction>
      </xsd:simpleType>
    </xsd:element>
    <xsd:element name="Has_Leaders_Only_SectionGroup" ma:index="48" nillable="true" ma:displayName="Has Leaders Only SectionGroup" ma:internalName="Has_Leaders_Only_SectionGroup">
      <xsd:simpleType>
        <xsd:restriction base="dms:Boolean"/>
      </xsd:simpleType>
    </xsd:element>
    <xsd:element name="Teams_Channel_Section_Location" ma:index="49"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23f3c1-1107-402b-9567-903e45c352f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ultureName xmlns="2ce5a41f-70b1-4141-9727-236556690c4c" xsi:nil="true"/>
    <Owner xmlns="2ce5a41f-70b1-4141-9727-236556690c4c">
      <UserInfo>
        <DisplayName/>
        <AccountId xsi:nil="true"/>
        <AccountType/>
      </UserInfo>
    </Owner>
    <Students xmlns="2ce5a41f-70b1-4141-9727-236556690c4c">
      <UserInfo>
        <DisplayName/>
        <AccountId xsi:nil="true"/>
        <AccountType/>
      </UserInfo>
    </Students>
    <Distribution_Groups xmlns="2ce5a41f-70b1-4141-9727-236556690c4c" xsi:nil="true"/>
    <Leaders xmlns="2ce5a41f-70b1-4141-9727-236556690c4c">
      <UserInfo>
        <DisplayName/>
        <AccountId xsi:nil="true"/>
        <AccountType/>
      </UserInfo>
    </Leaders>
    <_ip_UnifiedCompliancePolicyUIAction xmlns="http://schemas.microsoft.com/sharepoint/v3" xsi:nil="true"/>
    <TeamsChannelId xmlns="2ce5a41f-70b1-4141-9727-236556690c4c" xsi:nil="true"/>
    <NotebookType xmlns="2ce5a41f-70b1-4141-9727-236556690c4c" xsi:nil="true"/>
    <Has_Teacher_Only_SectionGroup xmlns="2ce5a41f-70b1-4141-9727-236556690c4c" xsi:nil="true"/>
    <Members xmlns="2ce5a41f-70b1-4141-9727-236556690c4c">
      <UserInfo>
        <DisplayName/>
        <AccountId xsi:nil="true"/>
        <AccountType/>
      </UserInfo>
    </Members>
    <IsNotebookLocked xmlns="2ce5a41f-70b1-4141-9727-236556690c4c" xsi:nil="true"/>
    <Member_Groups xmlns="2ce5a41f-70b1-4141-9727-236556690c4c">
      <UserInfo>
        <DisplayName/>
        <AccountId xsi:nil="true"/>
        <AccountType/>
      </UserInfo>
    </Member_Groups>
    <Has_Leaders_Only_SectionGroup xmlns="2ce5a41f-70b1-4141-9727-236556690c4c" xsi:nil="true"/>
    <_ip_UnifiedCompliancePolicyProperties xmlns="http://schemas.microsoft.com/sharepoint/v3" xsi:nil="true"/>
    <Invited_Teachers xmlns="2ce5a41f-70b1-4141-9727-236556690c4c" xsi:nil="true"/>
    <Math_Settings xmlns="2ce5a41f-70b1-4141-9727-236556690c4c" xsi:nil="true"/>
    <Self_Registration_Enabled xmlns="2ce5a41f-70b1-4141-9727-236556690c4c" xsi:nil="true"/>
    <DefaultSectionNames xmlns="2ce5a41f-70b1-4141-9727-236556690c4c" xsi:nil="true"/>
    <Is_Collaboration_Space_Locked xmlns="2ce5a41f-70b1-4141-9727-236556690c4c" xsi:nil="true"/>
    <AppVersion xmlns="2ce5a41f-70b1-4141-9727-236556690c4c" xsi:nil="true"/>
    <LMS_Mappings xmlns="2ce5a41f-70b1-4141-9727-236556690c4c" xsi:nil="true"/>
    <Invited_Students xmlns="2ce5a41f-70b1-4141-9727-236556690c4c" xsi:nil="true"/>
    <FolderType xmlns="2ce5a41f-70b1-4141-9727-236556690c4c" xsi:nil="true"/>
    <Teachers xmlns="2ce5a41f-70b1-4141-9727-236556690c4c">
      <UserInfo>
        <DisplayName/>
        <AccountId xsi:nil="true"/>
        <AccountType/>
      </UserInfo>
    </Teachers>
    <Student_Groups xmlns="2ce5a41f-70b1-4141-9727-236556690c4c">
      <UserInfo>
        <DisplayName/>
        <AccountId xsi:nil="true"/>
        <AccountType/>
      </UserInfo>
    </Student_Groups>
    <Templates xmlns="2ce5a41f-70b1-4141-9727-236556690c4c" xsi:nil="true"/>
    <Invited_Members xmlns="2ce5a41f-70b1-4141-9727-236556690c4c" xsi:nil="true"/>
    <Teams_Channel_Section_Location xmlns="2ce5a41f-70b1-4141-9727-236556690c4c" xsi:nil="true"/>
    <Invited_Leaders xmlns="2ce5a41f-70b1-4141-9727-236556690c4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6203DA-FC0E-4558-912B-F4CB2C51F4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ce5a41f-70b1-4141-9727-236556690c4c"/>
    <ds:schemaRef ds:uri="a323f3c1-1107-402b-9567-903e45c352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98F51F-9A67-A147-9F40-0D9746470534}">
  <ds:schemaRefs>
    <ds:schemaRef ds:uri="http://schemas.openxmlformats.org/officeDocument/2006/bibliography"/>
  </ds:schemaRefs>
</ds:datastoreItem>
</file>

<file path=customXml/itemProps3.xml><?xml version="1.0" encoding="utf-8"?>
<ds:datastoreItem xmlns:ds="http://schemas.openxmlformats.org/officeDocument/2006/customXml" ds:itemID="{D9F2AFE7-99DE-4268-BB6F-783C721105D3}">
  <ds:schemaRefs>
    <ds:schemaRef ds:uri="http://schemas.microsoft.com/office/2006/metadata/properties"/>
    <ds:schemaRef ds:uri="http://schemas.microsoft.com/office/infopath/2007/PartnerControls"/>
    <ds:schemaRef ds:uri="2ce5a41f-70b1-4141-9727-236556690c4c"/>
    <ds:schemaRef ds:uri="http://schemas.microsoft.com/sharepoint/v3"/>
  </ds:schemaRefs>
</ds:datastoreItem>
</file>

<file path=customXml/itemProps4.xml><?xml version="1.0" encoding="utf-8"?>
<ds:datastoreItem xmlns:ds="http://schemas.openxmlformats.org/officeDocument/2006/customXml" ds:itemID="{A7E91D2B-7F74-4998-98E4-348625E91A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7</Pages>
  <Words>1358</Words>
  <Characters>7742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Littlefield, Denise</dc:creator>
  <cp:keywords/>
  <dc:description/>
  <cp:lastModifiedBy>Amaka Mary Nduka</cp:lastModifiedBy>
  <cp:revision>9</cp:revision>
  <dcterms:created xsi:type="dcterms:W3CDTF">2021-08-10T17:50:00Z</dcterms:created>
  <dcterms:modified xsi:type="dcterms:W3CDTF">2026-05-26T05:19:00Z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0x0101009CB580B8D9D5C8479EB29463B3488F37</vt:lpwstr>
  </property>
</Properties>
</file>