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as a result of different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telomere dataset,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the relationship with age varied markedly among cohorts. Telomere length was positively associated with island-wide temporal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and evolutionary biologists is to quantify and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several wild organisms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been experienced; a signature that can otherwise be difficult to detect</w:t>
      </w:r>
      <w:r>
        <w:t xml:space="preserve"> </w:t>
      </w:r>
      <w:r>
        <w:t xml:space="preserve">(e.g. Schultner et al. 2014; Asghar et al. 2015; Bebbington et al. 2016)</w:t>
      </w:r>
      <w:r>
        <w:t xml:space="preserve">. There is also evidence that telomere length, measured longitudinally from individuals, can increase as well as decrease</w:t>
      </w:r>
      <w:r>
        <w:t xml:space="preserve"> </w:t>
      </w:r>
      <w:r>
        <w:t xml:space="preserve">(Müezzinler et al. 2013; 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its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 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are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longitudinal samples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et al. 2003a; Spurgin et al. 2014)</w:t>
      </w:r>
      <w:r>
        <w:t xml:space="preserve">. ). This species' main breeding season runs from June-September (though a small number of territories do sometimes try to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is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of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 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pPr>
        <w:pStyle w:val="FirstParagraph"/>
      </w:pP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and Wright 2009)</w:t>
      </w:r>
      <w:r>
        <w:t xml:space="preserve">.</w:t>
      </w:r>
    </w:p>
    <w:p>
      <w:pPr>
        <w:pStyle w:val="BodyText"/>
      </w:pPr>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pPr>
        <w:pStyle w:val="BodyText"/>
      </w:pPr>
      <w:r>
        <w:t xml:space="preserve">When examining the distribution of longitudinal telomere changes we observed some increases in telomere length with age in individuals. We then used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measurements from 293 samples) in exactly the same way as for across samples (hereafter</w:t>
      </w:r>
      <w:r>
        <w:t xml:space="preserve"> </w:t>
      </w:r>
      <m:oMath>
        <m:r>
          <m:t>Δ</m:t>
        </m:r>
      </m:oMath>
      <w:r>
        <w:t xml:space="preserve">RTL</w:t>
      </w:r>
      <w:r>
        <w:rPr>
          <w:i/>
          <w:vertAlign w:val="subscript"/>
        </w:rPr>
        <w:t xml:space="preserve">individual</w:t>
      </w:r>
      <w:r>
        <w:t xml:space="preserve">), using completely separate reactions run on separate plates.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was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inidividual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respectively;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 points, was 0.68 (CI = 0.64, 0.70).</w:t>
      </w:r>
    </w:p>
    <w:p>
      <w:pPr>
        <w:pStyle w:val="Heading5"/>
      </w:pPr>
      <w:bookmarkStart w:id="31" w:name="telomere-dynamics-and-age-among-cohorts"/>
      <w:bookmarkEnd w:id="31"/>
      <w:r>
        <w:t xml:space="preserve">Telomere dynamics and age among cohorts</w:t>
      </w:r>
    </w:p>
    <w:p>
      <w:pPr>
        <w:pStyle w:val="FirstParagraph"/>
      </w:pPr>
      <w:r>
        <w:t xml:space="preserve">We first tested how RTL was related to age among cohorts using a model selection approach. The top model contained a loglinear relationship between RTL and age (Table 1A). All other models fitted the data much less well (</w:t>
      </w:r>
      <m:oMath>
        <m: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To test whether this was significant we fitted a model including log age x cohort interaction term, and found that this was a substantially better fit than a model only including main effects (</w:t>
      </w:r>
      <m:oMath>
        <m:r>
          <m:t>Δ</m:t>
        </m:r>
      </m:oMath>
      <w:r>
        <w:t xml:space="preserve">AICc = 1.40 ).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There was positive correlation between RTL measured from different samples taken at different time points during an individual’s life (Fig. 2A), but this was very weak (marginal R</w:t>
      </w:r>
      <w:r>
        <w:rPr>
          <w:vertAlign w:val="superscript"/>
        </w:rPr>
        <w:t xml:space="preserve">2</w:t>
      </w:r>
      <w:r>
        <w:t xml:space="preserve"> </w:t>
      </w:r>
      <w:r>
        <w:t xml:space="preserve">= 0.01), and not significant (estimate = 0.066, CIs = -0.006, 0.137). 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 To better understand how longitudinal telomere dynamics vary with age, we examined patterns of short-term telomere change, including only pairs of samples taken within two-years of each other. We found that longitudinal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does not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lengthening, and that dismissing apparent telomere lengthening as solely measurement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pPr>
        <w:pStyle w:val="BodyText"/>
      </w:pPr>
      <w:r>
        <w:t xml:space="preserve">We also found evidence for sex-specific telomere dynamics: males had longer-telomeres than females. Interestingly this sex-difference interacts with tarsus length: telomere length was negatively correlated with tarsus length in both sexes, but this effect was stronger in females than males. If the sex-dependent relationship between telomere and tarsus length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Hyper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8">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Müezzinler, A., A. K. Zaineddin, and H. Brenner. 2013. A systematic review of leukocyte telomere length and age in adults. Ageing Research Reviews 12:509–519.</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Hyper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44e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9e90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2017-02-15T11:57:46Z</dcterms:created>
  <dcterms:modified xsi:type="dcterms:W3CDTF">2017-02-15T11:57:46Z</dcterms:modified>
</cp:coreProperties>
</file>