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 1</w:t>
      </w:r>
      <w:r>
        <w:t xml:space="preserve"> </w:t>
      </w:r>
      <w:r>
        <w:t xml:space="preserve">Telomere dynamics and age in Seychelles warbler cohorts. Linear mixed models were created with RTL as the response variable, and different measures of age, along with cohort ID, were included as explanatory variables (see methods for details). Models are ranked by AICc, with best models at the top of the table.</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Cohort + Age (log)</w:t>
            </w:r>
          </w:p>
        </w:tc>
        <w:tc>
          <w:p>
            <w:pPr>
              <w:pStyle w:val="Compact"/>
              <w:jc w:val="left"/>
            </w:pPr>
            <w:r>
              <w:t xml:space="preserve">26</w:t>
            </w:r>
          </w:p>
        </w:tc>
        <w:tc>
          <w:p>
            <w:pPr>
              <w:pStyle w:val="Compact"/>
              <w:jc w:val="left"/>
            </w:pPr>
            <w:r>
              <w:t xml:space="preserve">-1027.601</w:t>
            </w:r>
          </w:p>
        </w:tc>
        <w:tc>
          <w:p>
            <w:pPr>
              <w:pStyle w:val="Compact"/>
              <w:jc w:val="left"/>
            </w:pPr>
            <w:r>
              <w:t xml:space="preserve">0</w:t>
            </w:r>
          </w:p>
        </w:tc>
        <w:tc>
          <w:p>
            <w:pPr>
              <w:pStyle w:val="Compact"/>
              <w:jc w:val="left"/>
            </w:pPr>
            <w:r>
              <w:t xml:space="preserve">1</w:t>
            </w:r>
          </w:p>
        </w:tc>
      </w:tr>
      <w:tr>
        <w:tc>
          <w:p>
            <w:pPr>
              <w:pStyle w:val="Compact"/>
              <w:jc w:val="left"/>
            </w:pPr>
            <w:r>
              <w:t xml:space="preserve">Age (quadratic) + Age (linear) + Cohort</w:t>
            </w:r>
          </w:p>
        </w:tc>
        <w:tc>
          <w:p>
            <w:pPr>
              <w:pStyle w:val="Compact"/>
              <w:jc w:val="left"/>
            </w:pPr>
            <w:r>
              <w:t xml:space="preserve">27</w:t>
            </w:r>
          </w:p>
        </w:tc>
        <w:tc>
          <w:p>
            <w:pPr>
              <w:pStyle w:val="Compact"/>
              <w:jc w:val="left"/>
            </w:pPr>
            <w:r>
              <w:t xml:space="preserve">-1010.158</w:t>
            </w:r>
          </w:p>
        </w:tc>
        <w:tc>
          <w:p>
            <w:pPr>
              <w:pStyle w:val="Compact"/>
              <w:jc w:val="left"/>
            </w:pPr>
            <w:r>
              <w:t xml:space="preserve">17.444</w:t>
            </w:r>
          </w:p>
        </w:tc>
        <w:tc>
          <w:p>
            <w:pPr>
              <w:pStyle w:val="Compact"/>
              <w:jc w:val="left"/>
            </w:pPr>
            <w:r>
              <w:t xml:space="preserve">0</w:t>
            </w:r>
          </w:p>
        </w:tc>
      </w:tr>
      <w:tr>
        <w:tc>
          <w:p>
            <w:pPr>
              <w:pStyle w:val="Compact"/>
              <w:jc w:val="left"/>
            </w:pPr>
            <w:r>
              <w:t xml:space="preserve">Age (log)</w:t>
            </w:r>
          </w:p>
        </w:tc>
        <w:tc>
          <w:p>
            <w:pPr>
              <w:pStyle w:val="Compact"/>
              <w:jc w:val="left"/>
            </w:pPr>
            <w:r>
              <w:t xml:space="preserve">5</w:t>
            </w:r>
          </w:p>
        </w:tc>
        <w:tc>
          <w:p>
            <w:pPr>
              <w:pStyle w:val="Compact"/>
              <w:jc w:val="left"/>
            </w:pPr>
            <w:r>
              <w:t xml:space="preserve">-1010.007</w:t>
            </w:r>
          </w:p>
        </w:tc>
        <w:tc>
          <w:p>
            <w:pPr>
              <w:pStyle w:val="Compact"/>
              <w:jc w:val="left"/>
            </w:pPr>
            <w:r>
              <w:t xml:space="preserve">17.595</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26</w:t>
            </w:r>
          </w:p>
        </w:tc>
        <w:tc>
          <w:p>
            <w:pPr>
              <w:pStyle w:val="Compact"/>
              <w:jc w:val="left"/>
            </w:pPr>
            <w:r>
              <w:t xml:space="preserve">-1006.859</w:t>
            </w:r>
          </w:p>
        </w:tc>
        <w:tc>
          <w:p>
            <w:pPr>
              <w:pStyle w:val="Compact"/>
              <w:jc w:val="left"/>
            </w:pPr>
            <w:r>
              <w:t xml:space="preserve">20.742</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40</w:t>
            </w:r>
          </w:p>
        </w:tc>
        <w:tc>
          <w:p>
            <w:pPr>
              <w:pStyle w:val="Compact"/>
              <w:jc w:val="left"/>
            </w:pPr>
            <w:r>
              <w:t xml:space="preserve">-996.08</w:t>
            </w:r>
          </w:p>
        </w:tc>
        <w:tc>
          <w:p>
            <w:pPr>
              <w:pStyle w:val="Compact"/>
              <w:jc w:val="left"/>
            </w:pPr>
            <w:r>
              <w:t xml:space="preserve">31.522</w:t>
            </w:r>
          </w:p>
        </w:tc>
        <w:tc>
          <w:p>
            <w:pPr>
              <w:pStyle w:val="Compact"/>
              <w:jc w:val="left"/>
            </w:pPr>
            <w:r>
              <w:t xml:space="preserve">0</w:t>
            </w:r>
          </w:p>
        </w:tc>
      </w:tr>
      <w:tr>
        <w:tc>
          <w:p>
            <w:pPr>
              <w:pStyle w:val="Compact"/>
              <w:jc w:val="left"/>
            </w:pPr>
            <w:r>
              <w:t xml:space="preserve">Age (quadratic) + Age (linear)</w:t>
            </w:r>
          </w:p>
        </w:tc>
        <w:tc>
          <w:p>
            <w:pPr>
              <w:pStyle w:val="Compact"/>
              <w:jc w:val="left"/>
            </w:pPr>
            <w:r>
              <w:t xml:space="preserve">6</w:t>
            </w:r>
          </w:p>
        </w:tc>
        <w:tc>
          <w:p>
            <w:pPr>
              <w:pStyle w:val="Compact"/>
              <w:jc w:val="left"/>
            </w:pPr>
            <w:r>
              <w:t xml:space="preserve">-991.16</w:t>
            </w:r>
          </w:p>
        </w:tc>
        <w:tc>
          <w:p>
            <w:pPr>
              <w:pStyle w:val="Compact"/>
              <w:jc w:val="left"/>
            </w:pPr>
            <w:r>
              <w:t xml:space="preserve">36.441</w:t>
            </w:r>
          </w:p>
        </w:tc>
        <w:tc>
          <w:p>
            <w:pPr>
              <w:pStyle w:val="Compact"/>
              <w:jc w:val="left"/>
            </w:pPr>
            <w:r>
              <w:t xml:space="preserve">0</w:t>
            </w:r>
          </w:p>
        </w:tc>
      </w:tr>
      <w:tr>
        <w:tc>
          <w:p>
            <w:pPr>
              <w:pStyle w:val="Compact"/>
              <w:jc w:val="left"/>
            </w:pPr>
            <w:r>
              <w:t xml:space="preserve">Age (linear)</w:t>
            </w:r>
          </w:p>
        </w:tc>
        <w:tc>
          <w:p>
            <w:pPr>
              <w:pStyle w:val="Compact"/>
              <w:jc w:val="left"/>
            </w:pPr>
            <w:r>
              <w:t xml:space="preserve">5</w:t>
            </w:r>
          </w:p>
        </w:tc>
        <w:tc>
          <w:p>
            <w:pPr>
              <w:pStyle w:val="Compact"/>
              <w:jc w:val="left"/>
            </w:pPr>
            <w:r>
              <w:t xml:space="preserve">-984.727</w:t>
            </w:r>
          </w:p>
        </w:tc>
        <w:tc>
          <w:p>
            <w:pPr>
              <w:pStyle w:val="Compact"/>
              <w:jc w:val="left"/>
            </w:pPr>
            <w:r>
              <w:t xml:space="preserve">42.874</w:t>
            </w:r>
          </w:p>
        </w:tc>
        <w:tc>
          <w:p>
            <w:pPr>
              <w:pStyle w:val="Compact"/>
              <w:jc w:val="left"/>
            </w:pPr>
            <w:r>
              <w:t xml:space="preserve">0</w:t>
            </w:r>
          </w:p>
        </w:tc>
      </w:tr>
      <w:tr>
        <w:tc>
          <w:p>
            <w:pPr>
              <w:pStyle w:val="Compact"/>
              <w:jc w:val="left"/>
            </w:pPr>
            <w:r>
              <w:t xml:space="preserve">Age (factor)</w:t>
            </w:r>
          </w:p>
        </w:tc>
        <w:tc>
          <w:p>
            <w:pPr>
              <w:pStyle w:val="Compact"/>
              <w:jc w:val="left"/>
            </w:pPr>
            <w:r>
              <w:t xml:space="preserve">19</w:t>
            </w:r>
          </w:p>
        </w:tc>
        <w:tc>
          <w:p>
            <w:pPr>
              <w:pStyle w:val="Compact"/>
              <w:jc w:val="left"/>
            </w:pPr>
            <w:r>
              <w:t xml:space="preserve">-978.658</w:t>
            </w:r>
          </w:p>
        </w:tc>
        <w:tc>
          <w:p>
            <w:pPr>
              <w:pStyle w:val="Compact"/>
              <w:jc w:val="left"/>
            </w:pPr>
            <w:r>
              <w:t xml:space="preserve">48.943</w:t>
            </w:r>
          </w:p>
        </w:tc>
        <w:tc>
          <w:p>
            <w:pPr>
              <w:pStyle w:val="Compact"/>
              <w:jc w:val="left"/>
            </w:pPr>
            <w:r>
              <w:t xml:space="preserve">0</w:t>
            </w:r>
          </w:p>
        </w:tc>
      </w:tr>
      <w:tr>
        <w:tc>
          <w:p>
            <w:pPr>
              <w:pStyle w:val="Compact"/>
              <w:jc w:val="left"/>
            </w:pPr>
            <w:r>
              <w:t xml:space="preserve">Cohort</w:t>
            </w:r>
          </w:p>
        </w:tc>
        <w:tc>
          <w:p>
            <w:pPr>
              <w:pStyle w:val="Compact"/>
              <w:jc w:val="left"/>
            </w:pPr>
            <w:r>
              <w:t xml:space="preserve">25</w:t>
            </w:r>
          </w:p>
        </w:tc>
        <w:tc>
          <w:p>
            <w:pPr>
              <w:pStyle w:val="Compact"/>
              <w:jc w:val="left"/>
            </w:pPr>
            <w:r>
              <w:t xml:space="preserve">-967.537</w:t>
            </w:r>
          </w:p>
        </w:tc>
        <w:tc>
          <w:p>
            <w:pPr>
              <w:pStyle w:val="Compact"/>
              <w:jc w:val="left"/>
            </w:pPr>
            <w:r>
              <w:t xml:space="preserve">60.064</w:t>
            </w:r>
          </w:p>
        </w:tc>
        <w:tc>
          <w:p>
            <w:pPr>
              <w:pStyle w:val="Compact"/>
              <w:jc w:val="left"/>
            </w:pPr>
            <w:r>
              <w:t xml:space="preserve">0</w:t>
            </w:r>
          </w:p>
        </w:tc>
      </w:tr>
      <w:tr>
        <w:tc>
          <w:p>
            <w:pPr>
              <w:pStyle w:val="Compact"/>
              <w:jc w:val="left"/>
            </w:pPr>
            <w:r>
              <w:t xml:space="preserve">Null model</w:t>
            </w:r>
          </w:p>
        </w:tc>
        <w:tc>
          <w:p>
            <w:pPr>
              <w:pStyle w:val="Compact"/>
              <w:jc w:val="left"/>
            </w:pPr>
            <w:r>
              <w:t xml:space="preserve">4</w:t>
            </w:r>
          </w:p>
        </w:tc>
        <w:tc>
          <w:p>
            <w:pPr>
              <w:pStyle w:val="Compact"/>
              <w:jc w:val="left"/>
            </w:pPr>
            <w:r>
              <w:t xml:space="preserve">-962.627</w:t>
            </w:r>
          </w:p>
        </w:tc>
        <w:tc>
          <w:p>
            <w:pPr>
              <w:pStyle w:val="Compact"/>
              <w:jc w:val="left"/>
            </w:pPr>
            <w:r>
              <w:t xml:space="preserve">64.974</w:t>
            </w:r>
          </w:p>
        </w:tc>
        <w:tc>
          <w:p>
            <w:pPr>
              <w:pStyle w:val="Compact"/>
              <w:jc w:val="left"/>
            </w:pPr>
            <w:r>
              <w:t xml:space="preserve">0</w:t>
            </w:r>
          </w:p>
        </w:tc>
      </w:tr>
      <w:tr>
        <w:tc>
          <w:p>
            <w:pPr>
              <w:pStyle w:val="Compact"/>
              <w:jc w:val="left"/>
            </w:pPr>
            <w:r>
              <w:t xml:space="preserve">B</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Delta age (log) + MeanAge</w:t>
            </w:r>
          </w:p>
        </w:tc>
        <w:tc>
          <w:p>
            <w:pPr>
              <w:pStyle w:val="Compact"/>
              <w:jc w:val="left"/>
            </w:pPr>
            <w:r>
              <w:t xml:space="preserve">6</w:t>
            </w:r>
          </w:p>
        </w:tc>
        <w:tc>
          <w:p>
            <w:pPr>
              <w:pStyle w:val="Compact"/>
              <w:jc w:val="left"/>
            </w:pPr>
            <w:r>
              <w:t xml:space="preserve">-351.051</w:t>
            </w:r>
          </w:p>
        </w:tc>
        <w:tc>
          <w:p>
            <w:pPr>
              <w:pStyle w:val="Compact"/>
              <w:jc w:val="left"/>
            </w:pPr>
            <w:r>
              <w:t xml:space="preserve">0</w:t>
            </w:r>
          </w:p>
        </w:tc>
        <w:tc>
          <w:p>
            <w:pPr>
              <w:pStyle w:val="Compact"/>
              <w:jc w:val="left"/>
            </w:pPr>
            <w:r>
              <w:t xml:space="preserve">0.393</w:t>
            </w:r>
          </w:p>
        </w:tc>
      </w:tr>
      <w:tr>
        <w:tc>
          <w:p>
            <w:pPr>
              <w:pStyle w:val="Compact"/>
              <w:jc w:val="left"/>
            </w:pPr>
            <w:r>
              <w:t xml:space="preserve">Delta age (linear) + MeanAge</w:t>
            </w:r>
          </w:p>
        </w:tc>
        <w:tc>
          <w:p>
            <w:pPr>
              <w:pStyle w:val="Compact"/>
              <w:jc w:val="left"/>
            </w:pPr>
            <w:r>
              <w:t xml:space="preserve">6</w:t>
            </w:r>
          </w:p>
        </w:tc>
        <w:tc>
          <w:p>
            <w:pPr>
              <w:pStyle w:val="Compact"/>
              <w:jc w:val="left"/>
            </w:pPr>
            <w:r>
              <w:t xml:space="preserve">-350.872</w:t>
            </w:r>
          </w:p>
        </w:tc>
        <w:tc>
          <w:p>
            <w:pPr>
              <w:pStyle w:val="Compact"/>
              <w:jc w:val="left"/>
            </w:pPr>
            <w:r>
              <w:t xml:space="preserve">0.18</w:t>
            </w:r>
          </w:p>
        </w:tc>
        <w:tc>
          <w:p>
            <w:pPr>
              <w:pStyle w:val="Compact"/>
              <w:jc w:val="left"/>
            </w:pPr>
            <w:r>
              <w:t xml:space="preserve">0.359</w:t>
            </w:r>
          </w:p>
        </w:tc>
      </w:tr>
      <w:tr>
        <w:tc>
          <w:p>
            <w:pPr>
              <w:pStyle w:val="Compact"/>
              <w:jc w:val="left"/>
            </w:pPr>
            <w:r>
              <w:t xml:space="preserve">Delta age (linear) + Delta age (quadratic) + MeanAge</w:t>
            </w:r>
          </w:p>
        </w:tc>
        <w:tc>
          <w:p>
            <w:pPr>
              <w:pStyle w:val="Compact"/>
              <w:jc w:val="left"/>
            </w:pPr>
            <w:r>
              <w:t xml:space="preserve">7</w:t>
            </w:r>
          </w:p>
        </w:tc>
        <w:tc>
          <w:p>
            <w:pPr>
              <w:pStyle w:val="Compact"/>
              <w:jc w:val="left"/>
            </w:pPr>
            <w:r>
              <w:t xml:space="preserve">-348.856</w:t>
            </w:r>
          </w:p>
        </w:tc>
        <w:tc>
          <w:p>
            <w:pPr>
              <w:pStyle w:val="Compact"/>
              <w:jc w:val="left"/>
            </w:pPr>
            <w:r>
              <w:t xml:space="preserve">2.195</w:t>
            </w:r>
          </w:p>
        </w:tc>
        <w:tc>
          <w:p>
            <w:pPr>
              <w:pStyle w:val="Compact"/>
              <w:jc w:val="left"/>
            </w:pPr>
            <w:r>
              <w:t xml:space="preserve">0.131</w:t>
            </w:r>
          </w:p>
        </w:tc>
      </w:tr>
      <w:tr>
        <w:tc>
          <w:p>
            <w:pPr>
              <w:pStyle w:val="Compact"/>
              <w:jc w:val="left"/>
            </w:pPr>
            <w:r>
              <w:t xml:space="preserve">Cohort + Delta age (linear) + MeanAge</w:t>
            </w:r>
          </w:p>
        </w:tc>
        <w:tc>
          <w:p>
            <w:pPr>
              <w:pStyle w:val="Compact"/>
              <w:jc w:val="left"/>
            </w:pPr>
            <w:r>
              <w:t xml:space="preserve">27</w:t>
            </w:r>
          </w:p>
        </w:tc>
        <w:tc>
          <w:p>
            <w:pPr>
              <w:pStyle w:val="Compact"/>
              <w:jc w:val="left"/>
            </w:pPr>
            <w:r>
              <w:t xml:space="preserve">-346.428</w:t>
            </w:r>
          </w:p>
        </w:tc>
        <w:tc>
          <w:p>
            <w:pPr>
              <w:pStyle w:val="Compact"/>
              <w:jc w:val="left"/>
            </w:pPr>
            <w:r>
              <w:t xml:space="preserve">4.623</w:t>
            </w:r>
          </w:p>
        </w:tc>
        <w:tc>
          <w:p>
            <w:pPr>
              <w:pStyle w:val="Compact"/>
              <w:jc w:val="left"/>
            </w:pPr>
            <w:r>
              <w:t xml:space="preserve">0.039</w:t>
            </w:r>
          </w:p>
        </w:tc>
      </w:tr>
      <w:tr>
        <w:tc>
          <w:p>
            <w:pPr>
              <w:pStyle w:val="Compact"/>
              <w:jc w:val="left"/>
            </w:pPr>
            <w:r>
              <w:t xml:space="preserve">MeanAge</w:t>
            </w:r>
          </w:p>
        </w:tc>
        <w:tc>
          <w:p>
            <w:pPr>
              <w:pStyle w:val="Compact"/>
              <w:jc w:val="left"/>
            </w:pPr>
            <w:r>
              <w:t xml:space="preserve">5</w:t>
            </w:r>
          </w:p>
        </w:tc>
        <w:tc>
          <w:p>
            <w:pPr>
              <w:pStyle w:val="Compact"/>
              <w:jc w:val="left"/>
            </w:pPr>
            <w:r>
              <w:t xml:space="preserve">-346.425</w:t>
            </w:r>
          </w:p>
        </w:tc>
        <w:tc>
          <w:p>
            <w:pPr>
              <w:pStyle w:val="Compact"/>
              <w:jc w:val="left"/>
            </w:pPr>
            <w:r>
              <w:t xml:space="preserve">4.626</w:t>
            </w:r>
          </w:p>
        </w:tc>
        <w:tc>
          <w:p>
            <w:pPr>
              <w:pStyle w:val="Compact"/>
              <w:jc w:val="left"/>
            </w:pPr>
            <w:r>
              <w:t xml:space="preserve">0.039</w:t>
            </w:r>
          </w:p>
        </w:tc>
      </w:tr>
      <w:tr>
        <w:tc>
          <w:p>
            <w:pPr>
              <w:pStyle w:val="Compact"/>
              <w:jc w:val="left"/>
            </w:pPr>
            <w:r>
              <w:t xml:space="preserve">Cohort + Delta age (log) + MeanAge</w:t>
            </w:r>
          </w:p>
        </w:tc>
        <w:tc>
          <w:p>
            <w:pPr>
              <w:pStyle w:val="Compact"/>
              <w:jc w:val="left"/>
            </w:pPr>
            <w:r>
              <w:t xml:space="preserve">27</w:t>
            </w:r>
          </w:p>
        </w:tc>
        <w:tc>
          <w:p>
            <w:pPr>
              <w:pStyle w:val="Compact"/>
              <w:jc w:val="left"/>
            </w:pPr>
            <w:r>
              <w:t xml:space="preserve">-345.596</w:t>
            </w:r>
          </w:p>
        </w:tc>
        <w:tc>
          <w:p>
            <w:pPr>
              <w:pStyle w:val="Compact"/>
              <w:jc w:val="left"/>
            </w:pPr>
            <w:r>
              <w:t xml:space="preserve">5.455</w:t>
            </w:r>
          </w:p>
        </w:tc>
        <w:tc>
          <w:p>
            <w:pPr>
              <w:pStyle w:val="Compact"/>
              <w:jc w:val="left"/>
            </w:pPr>
            <w:r>
              <w:t xml:space="preserve">0.026</w:t>
            </w:r>
          </w:p>
        </w:tc>
      </w:tr>
      <w:tr>
        <w:tc>
          <w:p>
            <w:pPr>
              <w:pStyle w:val="Compact"/>
              <w:jc w:val="left"/>
            </w:pPr>
            <w:r>
              <w:t xml:space="preserve">Cohort + Delta age (linear) + Delta age (quadratic) + MeanAge</w:t>
            </w:r>
          </w:p>
        </w:tc>
        <w:tc>
          <w:p>
            <w:pPr>
              <w:pStyle w:val="Compact"/>
              <w:jc w:val="left"/>
            </w:pPr>
            <w:r>
              <w:t xml:space="preserve">28</w:t>
            </w:r>
          </w:p>
        </w:tc>
        <w:tc>
          <w:p>
            <w:pPr>
              <w:pStyle w:val="Compact"/>
              <w:jc w:val="left"/>
            </w:pPr>
            <w:r>
              <w:t xml:space="preserve">-344.294</w:t>
            </w:r>
          </w:p>
        </w:tc>
        <w:tc>
          <w:p>
            <w:pPr>
              <w:pStyle w:val="Compact"/>
              <w:jc w:val="left"/>
            </w:pPr>
            <w:r>
              <w:t xml:space="preserve">6.758</w:t>
            </w:r>
          </w:p>
        </w:tc>
        <w:tc>
          <w:p>
            <w:pPr>
              <w:pStyle w:val="Compact"/>
              <w:jc w:val="left"/>
            </w:pPr>
            <w:r>
              <w:t xml:space="preserve">0.013</w:t>
            </w:r>
          </w:p>
        </w:tc>
      </w:tr>
      <w:tr>
        <w:tc>
          <w:p>
            <w:pPr>
              <w:pStyle w:val="Compact"/>
              <w:jc w:val="left"/>
            </w:pPr>
            <w:r>
              <w:t xml:space="preserve">Cohort + MeanAge</w:t>
            </w:r>
          </w:p>
        </w:tc>
        <w:tc>
          <w:p>
            <w:pPr>
              <w:pStyle w:val="Compact"/>
              <w:jc w:val="left"/>
            </w:pPr>
            <w:r>
              <w:t xml:space="preserve">26</w:t>
            </w:r>
          </w:p>
        </w:tc>
        <w:tc>
          <w:p>
            <w:pPr>
              <w:pStyle w:val="Compact"/>
              <w:jc w:val="left"/>
            </w:pPr>
            <w:r>
              <w:t xml:space="preserve">-338.716</w:t>
            </w:r>
          </w:p>
        </w:tc>
        <w:tc>
          <w:p>
            <w:pPr>
              <w:pStyle w:val="Compact"/>
              <w:jc w:val="left"/>
            </w:pPr>
            <w:r>
              <w:t xml:space="preserve">12.335</w:t>
            </w:r>
          </w:p>
        </w:tc>
        <w:tc>
          <w:p>
            <w:pPr>
              <w:pStyle w:val="Compact"/>
              <w:jc w:val="left"/>
            </w:pPr>
            <w:r>
              <w:t xml:space="preserve">0.001</w:t>
            </w:r>
          </w:p>
        </w:tc>
      </w:tr>
    </w:tbl>
    <w:p>
      <w:r>
        <w:rPr>
          <w:b/>
        </w:rPr>
        <w:t xml:space="preserve">Figure Legends</w:t>
      </w:r>
    </w:p>
    <w:p>
      <w:r>
        <w:rPr>
          <w:b/>
        </w:rPr>
        <w:t xml:space="preserve">Figure 1</w:t>
      </w:r>
      <w:r>
        <w:t xml:space="preserve"> </w:t>
      </w:r>
      <w:r>
        <w:t xml:space="preserve">Telomere dynamics in relation to age in Seychelles warbler cohorts.</w:t>
      </w:r>
      <w:r>
        <w:t xml:space="preserve"> </w:t>
      </w:r>
      <w:r>
        <w:rPr>
          <w:b/>
        </w:rPr>
        <w:t xml:space="preserve">A</w:t>
      </w:r>
      <w:r>
        <w:t xml:space="preserve"> </w:t>
      </w:r>
      <w:r>
        <w:t xml:space="preserve">RTL and age across all individuals. Points and connecting thin grey lines represent individual samples and birds, respectively. The thick line and shaded area represent the fitted values and 95% confidence limits of a linear regression of RTL and log-transformed age.</w:t>
      </w:r>
      <w:r>
        <w:t xml:space="preserve"> </w:t>
      </w:r>
      <w:r>
        <w:rPr>
          <w:b/>
        </w:rPr>
        <w:t xml:space="preserve">B</w:t>
      </w:r>
      <w:r>
        <w:t xml:space="preserve"> </w:t>
      </w:r>
      <w:r>
        <w:t xml:space="preserve">Boxplot of variation in RTL among cohorts.</w:t>
      </w:r>
      <w:r>
        <w:t xml:space="preserve"> </w:t>
      </w:r>
      <w:r>
        <w:rPr>
          <w:b/>
        </w:rPr>
        <w:t xml:space="preserve">C</w:t>
      </w:r>
      <w:r>
        <w:t xml:space="preserve"> </w:t>
      </w:r>
      <w:r>
        <w:t xml:space="preserve">RTL and age among cohorts. Lines represent fitted values from a linear regression of RTL and log-transformed age, and colours correspond to</w:t>
      </w:r>
      <w:r>
        <w:t xml:space="preserve"> </w:t>
      </w:r>
      <w:r>
        <w:rPr>
          <w:b/>
        </w:rPr>
        <w:t xml:space="preserve">B</w:t>
      </w:r>
      <w:r>
        <w:t xml:space="preserve">.</w:t>
      </w:r>
      <w:r>
        <w:t xml:space="preserve"> </w:t>
      </w:r>
      <w:r>
        <w:rPr>
          <w:b/>
        </w:rPr>
        <w:t xml:space="preserve">D</w:t>
      </w:r>
      <w:r>
        <w:t xml:space="preserve"> </w:t>
      </w:r>
      <w:r>
        <w:t xml:space="preserve">RTL in relation to and</w:t>
      </w:r>
      <w:r>
        <w:t xml:space="preserve"> </w:t>
      </w:r>
      <m:oMath>
        <m:r>
          <m:rPr>
            <m:sty m:val="p"/>
          </m:rPr>
          <m:t>Δ</m:t>
        </m:r>
      </m:oMath>
      <w:r>
        <w:t xml:space="preserve">Log age (i.e. within individual variation in log age).</w:t>
      </w:r>
    </w:p>
    <w:p>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 Areas of the density plot to the left of the dotted line represent decreases in RTL, while areas to the right represent increases.</w:t>
      </w:r>
      <w:r>
        <w:t xml:space="preserve"> </w:t>
      </w:r>
      <w:r>
        <w:rPr>
          <w:b/>
        </w:rPr>
        <w:t xml:space="preserve">C</w:t>
      </w:r>
      <w:r>
        <w:t xml:space="preserve"> </w:t>
      </w:r>
      <m:oMath>
        <m:r>
          <m:rPr>
            <m:sty m:val="p"/>
          </m:rPr>
          <m:t>Δ</m:t>
        </m:r>
      </m:oMath>
      <w:r>
        <w:t xml:space="preserve">RTL in relation to age in pairs of samples taken within two years. Black line and shaded area represent fitted values and 95% confidence limits from a linear regression of RTL and log-transformed age.</w:t>
      </w:r>
      <w:r>
        <w:t xml:space="preserve"> </w:t>
      </w:r>
      <w:r>
        <w:rPr>
          <w:b/>
        </w:rPr>
        <w:t xml:space="preserve">D</w:t>
      </w:r>
      <w:r>
        <w:t xml:space="preserve"> </w:t>
      </w:r>
      <w:r>
        <w:t xml:space="preserve">Probability of telomere lengthening occurring in relation to age. Points at zero and one represent pairs of samples where RTL has decreased and increased, respectively, with point size scaled by the number of overlapping values. The black line represents the proportion of samples in which increases in RTL where observed at each age category.</w:t>
      </w:r>
    </w:p>
    <w:p>
      <w:r>
        <w:rPr>
          <w:b/>
        </w:rPr>
        <w:t xml:space="preserve">Figure 3</w:t>
      </w:r>
      <w:r>
        <w:t xml:space="preserve"> </w:t>
      </w:r>
      <w:r>
        <w:t xml:space="preserve">Telomere length in relation to the social and ecological environment in the Seychelles warbler.</w:t>
      </w:r>
      <w:r>
        <w:t xml:space="preserve"> </w:t>
      </w:r>
      <w:r>
        <w:rPr>
          <w:b/>
        </w:rPr>
        <w:t xml:space="preserve">A</w:t>
      </w:r>
      <w:r>
        <w:t xml:space="preserve"> </w:t>
      </w:r>
      <w:r>
        <w:t xml:space="preserve">Estimates and 95% confidence intervals for all explanatory variables fitted in a linear mixed model (see methods for details).</w:t>
      </w:r>
      <w:r>
        <w:t xml:space="preserve"> </w:t>
      </w:r>
      <w:r>
        <w:rPr>
          <w:b/>
        </w:rPr>
        <w:t xml:space="preserve">B</w:t>
      </w:r>
      <w:r>
        <w:t xml:space="preserve"> </w:t>
      </w:r>
      <w:r>
        <w:t xml:space="preserve">RTL in relation to tarsus length and sex.</w:t>
      </w:r>
      <w:r>
        <w:t xml:space="preserve"> </w:t>
      </w:r>
      <w:r>
        <w:rPr>
          <w:b/>
        </w:rPr>
        <w:t xml:space="preserve">C</w:t>
      </w:r>
      <w:r>
        <w:t xml:space="preserve"> </w:t>
      </w:r>
      <w:r>
        <w:t xml:space="preserve">RTL in relation to variation in annual food availability. Lines and shaded areas represent the fitted values and 95% confidence limits from linear regressions.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02a9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