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Table1</w:t>
      </w:r>
    </w:p>
    <w:p>
      <w:pPr>
        <w:pStyle w:val="BodyText"/>
      </w:pPr>
      <w:r>
        <w:rPr>
          <w:b/>
        </w:rPr>
        <w:t xml:space="preserve">Figure Legends</w:t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RTL in relation to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age and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m:oMath>
        <m:r>
          <m:rPr/>
          <m:t>Δ</m:t>
        </m:r>
      </m:oMath>
      <w:r>
        <w:t xml:space="preserve">Age in Seychelles warblers. Lines and shaded areas are fitted values and 95% confidence limits from linear regressions.</w:t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Cohort effects on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temporal variation RTL in major and minor cohorts,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temporal variation in adult population size,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early-life RTL in relation to cohort-level variation in adult population size. Lines and shaded areas in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are fitted values and 95% confidence limits from general linear models.</w:t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Factors affecting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 RTL as the response variable (see main text for details; TQ = territory quality).</w:t>
      </w:r>
      <w:r>
        <w:t xml:space="preserve"> </w:t>
      </w:r>
      <w:r>
        <w:rPr>
          <w:b/>
        </w:rPr>
        <w:t xml:space="preserve">B,C</w:t>
      </w:r>
      <w:r>
        <w:t xml:space="preserve"> </w:t>
      </w:r>
      <w:r>
        <w:t xml:space="preserve">Early-life RTL and age in relation to tarsus length (</w:t>
      </w:r>
      <w:r>
        <w:rPr>
          <w:b/>
        </w:rPr>
        <w:t xml:space="preserve">B</w:t>
      </w:r>
      <w:r>
        <w:t xml:space="preserve">) and sex (</w:t>
      </w:r>
      <w:r>
        <w:rPr>
          <w:b/>
        </w:rPr>
        <w:t xml:space="preserve">C</w:t>
      </w:r>
      <w:r>
        <w:t xml:space="preserve">). Lines and shaded areas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are fitted values and 95% confidence limits from a general linear model.</w:t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Longitudinal telomere dynamics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juvenile telomere length in relation to adult telomere length measured in the same individual.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/>
          <m:t>Δ</m:t>
        </m:r>
      </m:oMath>
      <w:r>
        <w:t xml:space="preserve">RTL in relation to the time between sampling events. Lines and shaded areas represent fitted values and 95% confidence limits from general linear models. Raw data have been ommited from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for the sake of clarity, but are plotted in Figure S1.</w:t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Factors affecting</w:t>
      </w:r>
      <w:r>
        <w:t xml:space="preserve"> </w:t>
      </w:r>
      <m:oMath>
        <m:r>
          <m:rPr/>
          <m:t>Δ</m:t>
        </m:r>
      </m:oMath>
      <w:r>
        <w:t xml:space="preserve">RTL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</w:t>
      </w:r>
      <w:r>
        <w:t xml:space="preserve"> </w:t>
      </w:r>
      <m:oMath>
        <m:r>
          <m:rPr/>
          <m:t>Δ</m:t>
        </m:r>
      </m:oMath>
      <w:r>
        <w:t xml:space="preserve">RTL as the response variable (see main text for details;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/>
          <m:t>Δ</m:t>
        </m:r>
      </m:oMath>
      <w:r>
        <w:t xml:space="preserve">RTL in relation to tarsus length and sex.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9ae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