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1</w:t>
      </w:r>
      <w:r>
        <w:t xml:space="preserve"> </w:t>
      </w:r>
      <w:r>
        <w:t xml:space="preserve">Telomere dynamics and age in Seychelles warbler cohorts. Linear mixed models were created with RTL as the response variable, and different measures of age, cohort ID, and cohort x age interactions as explanatory variables (see methods for details). Models are ranked by AICc, with best models at the top of the table.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Delta AICc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Age (log) + Age (log)*cohort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-1074.102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Age (log)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-1062.782</w:t>
            </w:r>
          </w:p>
        </w:tc>
        <w:tc>
          <w:p>
            <w:pPr>
              <w:pStyle w:val="Compact"/>
              <w:jc w:val="left"/>
            </w:pPr>
            <w:r>
              <w:t xml:space="preserve">11.32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(quadratic) + Cohort + Age (quadratic)*cohort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-1039.028</w:t>
            </w:r>
          </w:p>
        </w:tc>
        <w:tc>
          <w:p>
            <w:pPr>
              <w:pStyle w:val="Compact"/>
              <w:jc w:val="left"/>
            </w:pPr>
            <w:r>
              <w:t xml:space="preserve">35.073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(linear) + Cohort + Age (continuous)*cohort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-1036.929</w:t>
            </w:r>
          </w:p>
        </w:tc>
        <w:tc>
          <w:p>
            <w:pPr>
              <w:pStyle w:val="Compact"/>
              <w:jc w:val="left"/>
            </w:pPr>
            <w:r>
              <w:t xml:space="preserve">37.173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(linear) + Cohort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-1035.072</w:t>
            </w:r>
          </w:p>
        </w:tc>
        <w:tc>
          <w:p>
            <w:pPr>
              <w:pStyle w:val="Compact"/>
              <w:jc w:val="left"/>
            </w:pPr>
            <w:r>
              <w:t xml:space="preserve">39.03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(log)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-1034.942</w:t>
            </w:r>
          </w:p>
        </w:tc>
        <w:tc>
          <w:p>
            <w:pPr>
              <w:pStyle w:val="Compact"/>
              <w:jc w:val="left"/>
            </w:pPr>
            <w:r>
              <w:t xml:space="preserve">39.16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Age (factor)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-1027.498</w:t>
            </w:r>
          </w:p>
        </w:tc>
        <w:tc>
          <w:p>
            <w:pPr>
              <w:pStyle w:val="Compact"/>
              <w:jc w:val="left"/>
            </w:pPr>
            <w:r>
              <w:t xml:space="preserve">46.604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(quadratic) + Cohort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-1007.366</w:t>
            </w:r>
          </w:p>
        </w:tc>
        <w:tc>
          <w:p>
            <w:pPr>
              <w:pStyle w:val="Compact"/>
              <w:jc w:val="left"/>
            </w:pPr>
            <w:r>
              <w:t xml:space="preserve">66.736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(linear)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-1006.873</w:t>
            </w:r>
          </w:p>
        </w:tc>
        <w:tc>
          <w:p>
            <w:pPr>
              <w:pStyle w:val="Compact"/>
              <w:jc w:val="left"/>
            </w:pPr>
            <w:r>
              <w:t xml:space="preserve">67.229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(factor)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-1004.885</w:t>
            </w:r>
          </w:p>
        </w:tc>
        <w:tc>
          <w:p>
            <w:pPr>
              <w:pStyle w:val="Compact"/>
              <w:jc w:val="left"/>
            </w:pPr>
            <w:r>
              <w:t xml:space="preserve">69.217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-1000.037</w:t>
            </w:r>
          </w:p>
        </w:tc>
        <w:tc>
          <w:p>
            <w:pPr>
              <w:pStyle w:val="Compact"/>
              <w:jc w:val="left"/>
            </w:pPr>
            <w:r>
              <w:t xml:space="preserve">74.065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(quadratic)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-996.559</w:t>
            </w:r>
          </w:p>
        </w:tc>
        <w:tc>
          <w:p>
            <w:pPr>
              <w:pStyle w:val="Compact"/>
              <w:jc w:val="left"/>
            </w:pPr>
            <w:r>
              <w:t xml:space="preserve">77.543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-989.909</w:t>
            </w:r>
          </w:p>
        </w:tc>
        <w:tc>
          <w:p>
            <w:pPr>
              <w:pStyle w:val="Compact"/>
              <w:jc w:val="left"/>
            </w:pPr>
            <w:r>
              <w:t xml:space="preserve">84.193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Age (factor) + Age (factor)*cohort</w:t>
            </w:r>
          </w:p>
        </w:tc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-926.127</w:t>
            </w:r>
          </w:p>
        </w:tc>
        <w:tc>
          <w:p>
            <w:pPr>
              <w:pStyle w:val="Compact"/>
              <w:jc w:val="left"/>
            </w:pPr>
            <w:r>
              <w:t xml:space="preserve">147.975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age (log)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-371.11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age (linear)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-366.596</w:t>
            </w:r>
          </w:p>
        </w:tc>
        <w:tc>
          <w:p>
            <w:pPr>
              <w:pStyle w:val="Compact"/>
              <w:jc w:val="left"/>
            </w:pPr>
            <w:r>
              <w:t xml:space="preserve">4.513</w:t>
            </w:r>
          </w:p>
        </w:tc>
        <w:tc>
          <w:p>
            <w:pPr>
              <w:pStyle w:val="Compact"/>
              <w:jc w:val="lef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Delta age (quadratic)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-365.591</w:t>
            </w:r>
          </w:p>
        </w:tc>
        <w:tc>
          <w:p>
            <w:pPr>
              <w:pStyle w:val="Compact"/>
              <w:jc w:val="left"/>
            </w:pPr>
            <w:r>
              <w:t xml:space="preserve">5.519</w:t>
            </w:r>
          </w:p>
        </w:tc>
        <w:tc>
          <w:p>
            <w:pPr>
              <w:pStyle w:val="Compact"/>
              <w:jc w:val="lef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 model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-364.379</w:t>
            </w:r>
          </w:p>
        </w:tc>
        <w:tc>
          <w:p>
            <w:pPr>
              <w:pStyle w:val="Compact"/>
              <w:jc w:val="left"/>
            </w:pPr>
            <w:r>
              <w:t xml:space="preserve">6.731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(log)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-359.688</w:t>
            </w:r>
          </w:p>
        </w:tc>
        <w:tc>
          <w:p>
            <w:pPr>
              <w:pStyle w:val="Compact"/>
              <w:jc w:val="left"/>
            </w:pPr>
            <w:r>
              <w:t xml:space="preserve">11.422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(quadratic)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-354.605</w:t>
            </w:r>
          </w:p>
        </w:tc>
        <w:tc>
          <w:p>
            <w:pPr>
              <w:pStyle w:val="Compact"/>
              <w:jc w:val="left"/>
            </w:pPr>
            <w:r>
              <w:t xml:space="preserve">16.505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(linear)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-352.972</w:t>
            </w:r>
          </w:p>
        </w:tc>
        <w:tc>
          <w:p>
            <w:pPr>
              <w:pStyle w:val="Compact"/>
              <w:jc w:val="left"/>
            </w:pPr>
            <w:r>
              <w:t xml:space="preserve">18.138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-350.968</w:t>
            </w:r>
          </w:p>
        </w:tc>
        <w:tc>
          <w:p>
            <w:pPr>
              <w:pStyle w:val="Compact"/>
              <w:jc w:val="left"/>
            </w:pPr>
            <w:r>
              <w:t xml:space="preserve">20.142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(log) + Delta age (log)*cohort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-347.557</w:t>
            </w:r>
          </w:p>
        </w:tc>
        <w:tc>
          <w:p>
            <w:pPr>
              <w:pStyle w:val="Compact"/>
              <w:jc w:val="left"/>
            </w:pPr>
            <w:r>
              <w:t xml:space="preserve">23.553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(linear) + Delta age (continuous)*cohort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-343.587</w:t>
            </w:r>
          </w:p>
        </w:tc>
        <w:tc>
          <w:p>
            <w:pPr>
              <w:pStyle w:val="Compact"/>
              <w:jc w:val="left"/>
            </w:pPr>
            <w:r>
              <w:t xml:space="preserve">27.523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Cohort + Delta age (quadratic) + Delta age (quadratic)*cohort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-330.365</w:t>
            </w:r>
          </w:p>
        </w:tc>
        <w:tc>
          <w:p>
            <w:pPr>
              <w:pStyle w:val="Compact"/>
              <w:jc w:val="left"/>
            </w:pPr>
            <w:r>
              <w:t xml:space="preserve">40.745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Figure Legends</w:t>
      </w:r>
    </w:p>
    <w:p>
      <w:pPr>
        <w:pStyle w:val="BodyText"/>
      </w:pPr>
      <w:r>
        <w:rPr>
          <w:b/>
        </w:rPr>
        <w:t xml:space="preserve">Figure 1</w:t>
      </w:r>
      <w:r>
        <w:t xml:space="preserve"> </w:t>
      </w:r>
      <w:r>
        <w:t xml:space="preserve">Telomere dynamics in relation to age in Seychelles warbler cohorts.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RTL and age across all individuals. Points and thin grey lines represent individual samples and birds, respectively. The thick line and shaded area represent the fitted values and 95% confidence limits of a linear regression of RTL and log-transformed age.</w:t>
      </w:r>
      <w:r>
        <w:rPr>
          <w:b/>
        </w:rPr>
        <w:t xml:space="preserve">B</w:t>
      </w:r>
      <w:r>
        <w:t xml:space="preserve"> </w:t>
      </w:r>
      <w:r>
        <w:t xml:space="preserve">Boxplot of variation in RTL among cohorts. For visualisation purposes a selection of cohorts with large sample sizes across a wide age range was chosen, but all cohorts were included in models.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RTL and age among cohorts. Lines represent fitted values from a linear regression and log-transformed age, and colours correspond to</w:t>
      </w:r>
      <w:r>
        <w:t xml:space="preserve"> </w:t>
      </w:r>
      <w:r>
        <w:rPr>
          <w:b/>
        </w:rPr>
        <w:t xml:space="preserve">B</w:t>
      </w:r>
      <w:r>
        <w:t xml:space="preserve">.</w:t>
      </w:r>
      <w:r>
        <w:t xml:space="preserve"> </w:t>
      </w:r>
      <w:r>
        <w:rPr>
          <w:b/>
        </w:rPr>
        <w:t xml:space="preserve">D</w:t>
      </w:r>
      <w:r>
        <w:t xml:space="preserve"> </w:t>
      </w:r>
      <w:r>
        <w:t xml:space="preserve">RTL in relation to and</w:t>
      </w:r>
      <w:r>
        <w:t xml:space="preserve"> </w:t>
      </w:r>
      <m:oMath>
        <m:r>
          <m:rPr/>
          <m:t>Δ</m:t>
        </m:r>
      </m:oMath>
      <w:r>
        <w:t xml:space="preserve">Log age (i.e. within indiviual variation in log age).</w:t>
      </w:r>
    </w:p>
    <w:p>
      <w:pPr>
        <w:pStyle w:val="BodyText"/>
      </w:pPr>
      <w:r>
        <w:rPr>
          <w:b/>
        </w:rPr>
        <w:t xml:space="preserve">Figure 2</w:t>
      </w:r>
      <w:r>
        <w:t xml:space="preserve"> </w:t>
      </w:r>
      <w:r>
        <w:t xml:space="preserve">Longitudinal telomere dynamics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Variation in RTL within individuals sampled at different time points. The dotted line represents parity, and thus points above and below the line represent increases and decreases in RTL, respectively.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Scaled density plots of repeated RTL measurements among individual samples, and among different samples taken from the same individual.</w:t>
      </w:r>
    </w:p>
    <w:p>
      <w:pPr>
        <w:pStyle w:val="BodyText"/>
      </w:pPr>
      <w:r>
        <w:rPr>
          <w:b/>
        </w:rPr>
        <w:t xml:space="preserve">Figure 3</w:t>
      </w:r>
      <w:r>
        <w:t xml:space="preserve"> </w:t>
      </w:r>
      <w:r>
        <w:t xml:space="preserve">Telomere length in relation to the social and ecological environment in the Seychelles warbler.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Estimates and 95% confidence intervals for all explanatory variables fitted in a linear mixed model (see methods for details).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RTL in relation to tarsus length and sex.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RTL in relation to variation in annual food availability. Lines and shaded areas represent the fitted values and 95% confidence limits from linear regressions.</w:t>
      </w:r>
    </w:p>
    <w:sectPr w:rsidR="00EA3EEA" w:rsidRPr="00457276" w:rsidSect="00457276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EA3E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0C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EA" w:rsidRDefault="00EA3EE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78b36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