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sampling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telomere length for all birds born in each summer (black) or winter (grey) breeding season, in relation to island-wide food availability. Trend lines represent fitted values from a linear regression.</w:t>
      </w:r>
    </w:p>
    <w:p>
      <w:r>
        <w:rPr>
          <w:b/>
        </w:rPr>
        <w:t xml:space="preserve">Figure 3</w:t>
      </w:r>
      <w:r>
        <w:t xml:space="preserve"> </w:t>
      </w:r>
      <w:r>
        <w:t xml:space="preserve">Factors affecting telomere length in Seychelles warbler chicks.</w:t>
      </w:r>
      <w:r>
        <w:t xml:space="preserve"> </w:t>
      </w:r>
      <w:r>
        <w:rPr>
          <w:b/>
        </w:rPr>
        <w:t xml:space="preserve">A</w:t>
      </w:r>
      <w:r>
        <w:t xml:space="preserve"> </w:t>
      </w:r>
      <w:r>
        <w:t xml:space="preserve">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trend line in</w:t>
      </w:r>
      <w:r>
        <w:t xml:space="preserve"> </w:t>
      </w:r>
      <w:r>
        <w:rPr>
          <w:b/>
        </w:rPr>
        <w:t xml:space="preserve">C</w:t>
      </w:r>
      <w:r>
        <w:t xml:space="preserve"> </w:t>
      </w:r>
      <w:r>
        <w:t xml:space="preserve">represents fitted values from a linear regression.</w:t>
      </w:r>
    </w:p>
    <w:p>
      <w:r>
        <w:rPr>
          <w:b/>
        </w:rPr>
        <w:t xml:space="preserve">Figure 4</w:t>
      </w:r>
      <w:r>
        <w:t xml:space="preserve"> </w:t>
      </w:r>
      <w:r>
        <w:t xml:space="preserve">Factors affecting telomere length in Seychelles warblers fledglings</w:t>
      </w:r>
      <w:r>
        <w:t xml:space="preserve"> </w:t>
      </w:r>
      <w:r>
        <w:rPr>
          <w:b/>
        </w:rPr>
        <w:t xml:space="preserve">(A)</w:t>
      </w:r>
      <w:r>
        <w:t xml:space="preserve"> </w:t>
      </w:r>
      <w:r>
        <w:t xml:space="preserve">and subadults</w:t>
      </w:r>
      <w:r>
        <w:t xml:space="preserve"> </w:t>
      </w:r>
      <w:r>
        <w:rPr>
          <w:b/>
        </w:rPr>
        <w:t xml:space="preserve">(B)</w:t>
      </w:r>
      <w:r>
        <w:t xml:space="preserve">.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p>
    <w:p>
      <w:r>
        <w:rPr>
          <w:b/>
        </w:rPr>
        <w:t xml:space="preserve">Figure 5</w:t>
      </w:r>
      <w:r>
        <w:t xml:space="preserve"> </w:t>
      </w:r>
      <w:r>
        <w:t xml:space="preserve">Cohort-level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summer (black) or winter (grey) breeding season.</w:t>
      </w:r>
    </w:p>
    <w:p>
      <w:r>
        <w:rPr>
          <w:b/>
        </w:rPr>
        <w:t xml:space="preserve">Figure 6</w:t>
      </w:r>
      <w:r>
        <w:t xml:space="preserve"> </w:t>
      </w:r>
      <w:r>
        <w:t xml:space="preserve">Kaplan-Meier curves showing the relationship between telomere length and survival in chick (</w:t>
      </w:r>
      <w:r>
        <w:rPr>
          <w:b/>
        </w:rPr>
        <w:t xml:space="preserve">A</w:t>
      </w:r>
      <w:r>
        <w:t xml:space="preserve">), fledgling (</w:t>
      </w:r>
      <w:r>
        <w:rPr>
          <w:b/>
        </w:rPr>
        <w:t xml:space="preserve">B</w:t>
      </w:r>
      <w:r>
        <w:t xml:space="preserve">) and sub-adult (</w:t>
      </w:r>
      <w:r>
        <w:rPr>
          <w:b/>
        </w:rPr>
        <w:t xml:space="preserve">C</w:t>
      </w:r>
      <w:r>
        <w:t xml:space="preserve">) Seychelles warblers. Telomere length is binned into groups here for visualisation purposes only (long and short = greater than or less than median telomere length, repectively).</w:t>
      </w:r>
    </w:p>
    <w:p>
      <w:r>
        <w:t xml:space="preserve">PAGEBREAK</w:t>
      </w:r>
    </w:p>
    <w:p>
      <w:r>
        <w:rPr>
          <w:b/>
        </w:rPr>
        <w:t xml:space="preserve">Figure 1</w:t>
      </w:r>
    </w:p>
    <w:p>
      <w:r>
        <w:drawing>
          <wp:inline>
            <wp:extent cx="4610100" cy="830580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4610100" cy="83058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4</w:t>
      </w:r>
    </w:p>
    <w:p>
      <w:r>
        <w:drawing>
          <wp:inline>
            <wp:extent cx="4610100" cy="83058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6</w:t>
      </w:r>
    </w:p>
    <w:p>
      <w:r>
        <w:drawing>
          <wp:inline>
            <wp:extent cx="3695700" cy="8305800"/>
            <wp:effectExtent b="0" l="0" r="0" t="0"/>
            <wp:docPr descr="" id="1" name="Picture"/>
            <a:graphic>
              <a:graphicData uri="http://schemas.openxmlformats.org/drawingml/2006/picture">
                <pic:pic>
                  <pic:nvPicPr>
                    <pic:cNvPr descr="../Figures/Figure%206-1.png" id="0" name="Picture"/>
                    <pic:cNvPicPr>
                      <a:picLocks noChangeArrowheads="1" noChangeAspect="1"/>
                    </pic:cNvPicPr>
                  </pic:nvPicPr>
                  <pic:blipFill>
                    <a:blip r:embed="rId26"/>
                    <a:stretch>
                      <a:fillRect/>
                    </a:stretch>
                  </pic:blipFill>
                  <pic:spPr bwMode="auto">
                    <a:xfrm>
                      <a:off x="0" y="0"/>
                      <a:ext cx="3695700" cy="83058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2dde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