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59DA" w14:textId="77777777" w:rsidR="008F445E" w:rsidRDefault="00000000">
      <w:pPr>
        <w:spacing w:after="40"/>
      </w:pPr>
      <w:r>
        <w:rPr>
          <w:b/>
          <w:color w:val="0F172A"/>
          <w:sz w:val="48"/>
        </w:rPr>
        <w:t>Visual UI Changes Summary</w:t>
      </w:r>
    </w:p>
    <w:p w14:paraId="7CD8B252" w14:textId="77777777" w:rsidR="008F445E" w:rsidRDefault="00000000">
      <w:pPr>
        <w:spacing w:after="240"/>
      </w:pPr>
      <w:r>
        <w:rPr>
          <w:color w:val="475569"/>
          <w:sz w:val="22"/>
        </w:rPr>
        <w:t>Recent visual changes only. Each section includes the changed area with a red arrow callout.</w:t>
      </w:r>
    </w:p>
    <w:p w14:paraId="203DE17D" w14:textId="77777777" w:rsidR="008F445E" w:rsidRDefault="00000000">
      <w:pPr>
        <w:spacing w:before="200" w:after="80"/>
      </w:pPr>
      <w:r>
        <w:rPr>
          <w:b/>
          <w:color w:val="0F172A"/>
          <w:sz w:val="34"/>
        </w:rPr>
        <w:t>Quote Detail: Cleaner Summary And Workflow</w:t>
      </w:r>
    </w:p>
    <w:p w14:paraId="010028E5" w14:textId="77777777" w:rsidR="008F445E" w:rsidRDefault="00000000">
      <w:pPr>
        <w:spacing w:after="160" w:line="269" w:lineRule="auto"/>
      </w:pPr>
      <w:r>
        <w:rPr>
          <w:color w:val="334155"/>
        </w:rPr>
        <w:t>The quote detail page now reads in a cleaner order: quote total first, customer and quote details together, then line items. The workflow is shown as an intentional checklist instead of loose date text.</w:t>
      </w:r>
    </w:p>
    <w:p w14:paraId="7E2D7A4E" w14:textId="77777777" w:rsidR="008F445E" w:rsidRDefault="00000000">
      <w:pPr>
        <w:jc w:val="center"/>
      </w:pPr>
      <w:r>
        <w:rPr>
          <w:noProof/>
        </w:rPr>
        <w:drawing>
          <wp:inline distT="0" distB="0" distL="0" distR="0" wp14:anchorId="2AA08083" wp14:editId="6A6EFE80">
            <wp:extent cx="8823960" cy="4964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-detail-workflow-annota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0D7B" w14:textId="29C9FCD3" w:rsidR="008F445E" w:rsidRDefault="008F445E"/>
    <w:p w14:paraId="49A3F289" w14:textId="77777777" w:rsidR="008F445E" w:rsidRDefault="00000000">
      <w:pPr>
        <w:spacing w:before="200" w:after="80"/>
      </w:pPr>
      <w:r>
        <w:rPr>
          <w:b/>
          <w:color w:val="0F172A"/>
          <w:sz w:val="34"/>
        </w:rPr>
        <w:t>Job Order Detail: Completed State Feels Closed</w:t>
      </w:r>
    </w:p>
    <w:p w14:paraId="319C5D38" w14:textId="77777777" w:rsidR="008F445E" w:rsidRDefault="00000000">
      <w:pPr>
        <w:spacing w:after="160" w:line="269" w:lineRule="auto"/>
      </w:pPr>
      <w:r>
        <w:rPr>
          <w:color w:val="334155"/>
        </w:rPr>
        <w:t>Completed jobs now feel finished instead of looking like another active step. The guidance and status treatment make it clear that production is done and accounting can continue with invoicing.</w:t>
      </w:r>
    </w:p>
    <w:p w14:paraId="56B0F2F3" w14:textId="77777777" w:rsidR="008F445E" w:rsidRDefault="00000000">
      <w:pPr>
        <w:jc w:val="center"/>
      </w:pPr>
      <w:r>
        <w:rPr>
          <w:noProof/>
        </w:rPr>
        <w:drawing>
          <wp:inline distT="0" distB="0" distL="0" distR="0" wp14:anchorId="3F265755" wp14:editId="3CF121C2">
            <wp:extent cx="8823960" cy="4964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-detail-completed-annota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4AAA" w14:textId="77777777" w:rsidR="008F445E" w:rsidRDefault="00000000">
      <w:r>
        <w:br w:type="page"/>
      </w:r>
    </w:p>
    <w:p w14:paraId="11EE354D" w14:textId="77777777" w:rsidR="008F445E" w:rsidRDefault="00000000">
      <w:pPr>
        <w:spacing w:before="200" w:after="80"/>
      </w:pPr>
      <w:r>
        <w:rPr>
          <w:b/>
          <w:color w:val="0F172A"/>
          <w:sz w:val="34"/>
        </w:rPr>
        <w:lastRenderedPageBreak/>
        <w:t>Invoice Detail: Document-Like Layout</w:t>
      </w:r>
    </w:p>
    <w:p w14:paraId="7A7F80C5" w14:textId="77777777" w:rsidR="008F445E" w:rsidRDefault="00000000">
      <w:pPr>
        <w:spacing w:after="160" w:line="269" w:lineRule="auto"/>
      </w:pPr>
      <w:r>
        <w:rPr>
          <w:color w:val="334155"/>
        </w:rPr>
        <w:t>The invoice detail page now uses a document-style structure: balance first, invoice/customer details next, then line items. This reduces the dashboard-card feeling and makes the accounting state easier to scan.</w:t>
      </w:r>
    </w:p>
    <w:p w14:paraId="087BEF72" w14:textId="77777777" w:rsidR="008F445E" w:rsidRDefault="00000000">
      <w:pPr>
        <w:jc w:val="center"/>
      </w:pPr>
      <w:r>
        <w:rPr>
          <w:noProof/>
        </w:rPr>
        <w:drawing>
          <wp:inline distT="0" distB="0" distL="0" distR="0" wp14:anchorId="09A8ED11" wp14:editId="309B53A2">
            <wp:extent cx="8823960" cy="4964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oice-detail-layout-annota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8EDB" w14:textId="77777777" w:rsidR="008F445E" w:rsidRDefault="00000000">
      <w:r>
        <w:br w:type="page"/>
      </w:r>
    </w:p>
    <w:p w14:paraId="587E2200" w14:textId="77777777" w:rsidR="008F445E" w:rsidRDefault="00000000">
      <w:pPr>
        <w:spacing w:before="200" w:after="80"/>
      </w:pPr>
      <w:r>
        <w:rPr>
          <w:b/>
          <w:color w:val="0F172A"/>
          <w:sz w:val="34"/>
        </w:rPr>
        <w:lastRenderedPageBreak/>
        <w:t>Delivery Receipt: VAT Context On Priced DR</w:t>
      </w:r>
    </w:p>
    <w:p w14:paraId="79EB4DE9" w14:textId="77777777" w:rsidR="008F445E" w:rsidRDefault="00000000">
      <w:pPr>
        <w:spacing w:after="160" w:line="269" w:lineRule="auto"/>
      </w:pPr>
      <w:r>
        <w:rPr>
          <w:color w:val="334155"/>
        </w:rPr>
        <w:t>The priced delivery receipt now shows the transaction tax mode and VAT computation when the job is VATable. Non-priced receipts remain clean and do not expose amounts.</w:t>
      </w:r>
    </w:p>
    <w:p w14:paraId="5318E3C5" w14:textId="77777777" w:rsidR="008F445E" w:rsidRDefault="00000000">
      <w:pPr>
        <w:jc w:val="center"/>
      </w:pPr>
      <w:r>
        <w:rPr>
          <w:noProof/>
        </w:rPr>
        <w:drawing>
          <wp:inline distT="0" distB="0" distL="0" distR="0" wp14:anchorId="51E43901" wp14:editId="3B6BBC52">
            <wp:extent cx="5826127" cy="50749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very-receipt-vat-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127" cy="50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EDC8" w14:textId="77777777" w:rsidR="008F445E" w:rsidRDefault="00000000">
      <w:r>
        <w:br w:type="page"/>
      </w:r>
    </w:p>
    <w:p w14:paraId="423CFD1B" w14:textId="77777777" w:rsidR="008F445E" w:rsidRDefault="00000000">
      <w:pPr>
        <w:spacing w:before="200" w:after="80"/>
      </w:pPr>
      <w:r>
        <w:rPr>
          <w:b/>
          <w:color w:val="0F172A"/>
          <w:sz w:val="34"/>
        </w:rPr>
        <w:lastRenderedPageBreak/>
        <w:t>Customer Form: TIN Formatting</w:t>
      </w:r>
    </w:p>
    <w:p w14:paraId="38C6BA91" w14:textId="77777777" w:rsidR="008F445E" w:rsidRDefault="00000000">
      <w:pPr>
        <w:spacing w:after="160" w:line="269" w:lineRule="auto"/>
      </w:pPr>
      <w:r>
        <w:rPr>
          <w:color w:val="334155"/>
        </w:rPr>
        <w:t>TIN input now formats into the expected pattern while typing. This makes customer entry easier to verify and supports the unique-TIN rule without making users memorize formatting.</w:t>
      </w:r>
    </w:p>
    <w:p w14:paraId="3AF02AA3" w14:textId="77777777" w:rsidR="008F445E" w:rsidRDefault="00000000">
      <w:pPr>
        <w:jc w:val="center"/>
      </w:pPr>
      <w:r>
        <w:rPr>
          <w:noProof/>
        </w:rPr>
        <w:drawing>
          <wp:inline distT="0" distB="0" distL="0" distR="0" wp14:anchorId="2F247147" wp14:editId="241A8251">
            <wp:extent cx="8823960" cy="4964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tin-modal-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45E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59033">
    <w:abstractNumId w:val="8"/>
  </w:num>
  <w:num w:numId="2" w16cid:durableId="1075084031">
    <w:abstractNumId w:val="6"/>
  </w:num>
  <w:num w:numId="3" w16cid:durableId="1074085090">
    <w:abstractNumId w:val="5"/>
  </w:num>
  <w:num w:numId="4" w16cid:durableId="1026643038">
    <w:abstractNumId w:val="4"/>
  </w:num>
  <w:num w:numId="5" w16cid:durableId="2109542020">
    <w:abstractNumId w:val="7"/>
  </w:num>
  <w:num w:numId="6" w16cid:durableId="872228411">
    <w:abstractNumId w:val="3"/>
  </w:num>
  <w:num w:numId="7" w16cid:durableId="1598515600">
    <w:abstractNumId w:val="2"/>
  </w:num>
  <w:num w:numId="8" w16cid:durableId="338627679">
    <w:abstractNumId w:val="1"/>
  </w:num>
  <w:num w:numId="9" w16cid:durableId="124822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B55"/>
    <w:rsid w:val="007D77C0"/>
    <w:rsid w:val="008F44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948FF"/>
  <w14:defaultImageDpi w14:val="300"/>
  <w15:docId w15:val="{4DDDCD2B-D9A9-4014-A363-49836AE4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skhart mercado</cp:lastModifiedBy>
  <cp:revision>2</cp:revision>
  <dcterms:created xsi:type="dcterms:W3CDTF">2013-12-23T23:15:00Z</dcterms:created>
  <dcterms:modified xsi:type="dcterms:W3CDTF">2026-06-25T08:28:00Z</dcterms:modified>
  <cp:category/>
</cp:coreProperties>
</file>