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rPr>
        <w:t xml:space="preserve">RF-FAST Enhanced: Integrating WiFi CSI Deep Learning into the RF-FAST Framework</w:t>
      </w:r>
    </w:p>
    <w:p>
      <w:pPr>
        <w:spacing w:after="360"/>
      </w:pPr>
      <w:r>
        <w:rPr>
          <w:rFonts w:ascii="Arial" w:cs="Arial" w:eastAsia="Arial" w:hAnsi="Arial"/>
          <w:i/>
          <w:iCs/>
          <w:sz w:val="22"/>
          <w:szCs w:val="22"/>
        </w:rPr>
        <w:t xml:space="preserve">Addendum to the RF-FAST Research Framework — Analysis of Chen et al. (2024) and Architectural Update</w:t>
      </w:r>
    </w:p>
    <w:p>
      <w:pPr>
        <w:pStyle w:val="Heading1"/>
      </w:pPr>
      <w:r>
        <w:rPr>
          <w:rFonts w:ascii="Arial" w:cs="Arial" w:eastAsia="Arial" w:hAnsi="Arial"/>
        </w:rPr>
        <w:t xml:space="preserve">Part 1: Critical Analysis of Chen et al. (2024)</w:t>
      </w:r>
    </w:p>
    <w:p>
      <w:pPr>
        <w:pStyle w:val="Heading2"/>
      </w:pPr>
      <w:r>
        <w:rPr>
          <w:rFonts w:ascii="Arial" w:cs="Arial" w:eastAsia="Arial" w:hAnsi="Arial"/>
        </w:rPr>
        <w:t xml:space="preserve">1.1 What the Paper Actually Contributes</w:t>
      </w:r>
    </w:p>
    <w:p>
      <w:pPr>
        <w:spacing w:after="120"/>
      </w:pPr>
      <w:r>
        <w:rPr>
          <w:rFonts w:ascii="Arial" w:cs="Arial" w:eastAsia="Arial" w:hAnsi="Arial"/>
          <w:sz w:val="22"/>
          <w:szCs w:val="22"/>
        </w:rPr>
        <w:t xml:space="preserve">Chen et al. present a practical WiFi CSI-based fall detection system using an ESP32S3 microcontroller as the receiver and a commodity home router as the transmitter. The system collects CSI amplitude matrices at 100 Hz, standardises them to a (300 × 52) shape via linear interpolation, and feeds them into a modified pretrained ResNet18 for activity classification. Binary classification (fall vs non-fall) achieves 93.97% accuracy, outperforming SVM (88.79%) and random forest (87.93%) on the same dataset.</w:t>
      </w:r>
    </w:p>
    <w:p>
      <w:pPr>
        <w:spacing w:after="120"/>
      </w:pPr>
      <w:r>
        <w:rPr>
          <w:rFonts w:ascii="Arial" w:cs="Arial" w:eastAsia="Arial" w:hAnsi="Arial"/>
          <w:sz w:val="22"/>
          <w:szCs w:val="22"/>
        </w:rPr>
        <w:t xml:space="preserve">Three contributions are technically substantive. First, the hardware approach — an ESP32S3 with an external antenna receiving CSI from a standard home router — produces a complete passive WiFi sensing node for under $15 AUD. This is the most cost-effective CSI acquisition setup published to date. Second, the image-based representation: treating the (time × subcarrier) CSI matrix as a single-channel grayscale image and applying a pretrained image classification CNN is an elegant and reproducible design choice. Third, the t-SNE finding is clinically important and under-discussed: activities involving vertical body displacement cluster near fall events in feature space, while horizontal-motion activities cluster separately. This tells us that WiFi CSI at 2.4 GHz is primarily encoding the vertical component of body motion — exactly the relevant dimension for fall detection in stroke survivors.</w:t>
      </w:r>
    </w:p>
    <w:p>
      <w:pPr>
        <w:pStyle w:val="Heading2"/>
      </w:pPr>
      <w:r>
        <w:rPr>
          <w:rFonts w:ascii="Arial" w:cs="Arial" w:eastAsia="Arial" w:hAnsi="Arial"/>
        </w:rPr>
        <w:t xml:space="preserve">1.2 What the Paper Does Not Adequately Address</w:t>
      </w:r>
    </w:p>
    <w:p>
      <w:pPr>
        <w:spacing w:after="120"/>
      </w:pPr>
      <w:r>
        <w:rPr>
          <w:rFonts w:ascii="Arial" w:cs="Arial" w:eastAsia="Arial" w:hAnsi="Arial"/>
          <w:sz w:val="22"/>
          <w:szCs w:val="22"/>
        </w:rPr>
        <w:t xml:space="preserve">Several limitations are significant and must be corrected for in RF-FAST. The participant population — ten volunteers with a mean age of 23.6 years — is the antithesis of the FAST trial population (mean age 75, multiple comorbidities, 70% hemiplegic). Whether the CSI signatures of a healthy 23-year-old falling forwards in a conference room resemble those of a 75-year-old stroke survivor with hemiplegia losing balance near a bathroom sink is entirely unclear. This is the single most critical limitation for direct transfer to RF-FAST.</w:t>
      </w:r>
    </w:p>
    <w:p>
      <w:pPr>
        <w:spacing w:after="120"/>
      </w:pPr>
      <w:r>
        <w:rPr>
          <w:rFonts w:ascii="Arial" w:cs="Arial" w:eastAsia="Arial" w:hAnsi="Arial"/>
          <w:sz w:val="22"/>
          <w:szCs w:val="22"/>
        </w:rPr>
        <w:t xml:space="preserve">The data splitting strategy — random 75/25 train/test allocation — inflates accuracy estimates because consecutive windows from the same session appear in both training and test sets, leaking temporal autocorrelation. A correct approach for a small multi-volunteer dataset is leave-one-subject-out cross-validation, which would produce lower but more honest accuracy figures.</w:t>
      </w:r>
    </w:p>
    <w:p>
      <w:pPr>
        <w:spacing w:after="120"/>
      </w:pPr>
      <w:r>
        <w:rPr>
          <w:rFonts w:ascii="Arial" w:cs="Arial" w:eastAsia="Arial" w:hAnsi="Arial"/>
          <w:sz w:val="22"/>
          <w:szCs w:val="22"/>
        </w:rPr>
        <w:t xml:space="preserve">The paper treats fall detection as a single-environment binary event classification task. RF-FAST requires continuous, longitudinal monitoring in an ecologically valid home environment where the task is not event detection from a 3-second clip but trajectory characterisation over weeks. Finally, the paper discards phase information entirely due to single-antenna phase noise on the ESP32 — pragmatic but sacrificing potentially useful information that the USRP N210's phase-coherent design does not share.</w:t>
      </w:r>
    </w:p>
    <w:p>
      <w:pPr>
        <w:spacing w:after="80"/>
      </w:pPr>
      <w:r>
        <w:t xml:space="preserve"/>
      </w:r>
    </w:p>
    <w:p>
      <w:pPr>
        <w:pStyle w:val="Heading1"/>
      </w:pPr>
      <w:r>
        <w:rPr>
          <w:rFonts w:ascii="Arial" w:cs="Arial" w:eastAsia="Arial" w:hAnsi="Arial"/>
        </w:rPr>
        <w:t xml:space="preserve">Part 2: Mapping Chen et al. Contributions to RF-FAST Enhancement</w:t>
      </w:r>
    </w:p>
    <w:p>
      <w:pPr>
        <w:pStyle w:val="Heading2"/>
      </w:pPr>
      <w:r>
        <w:rPr>
          <w:rFonts w:ascii="Arial" w:cs="Arial" w:eastAsia="Arial" w:hAnsi="Arial"/>
        </w:rPr>
        <w:t xml:space="preserve">2.1 ESP32S3 as a Multi-Room Passive CSI Layer</w:t>
      </w:r>
    </w:p>
    <w:p>
      <w:pPr>
        <w:spacing w:after="120"/>
      </w:pPr>
      <w:r>
        <w:rPr>
          <w:rFonts w:ascii="Arial" w:cs="Arial" w:eastAsia="Arial" w:hAnsi="Arial"/>
          <w:sz w:val="22"/>
          <w:szCs w:val="22"/>
        </w:rPr>
        <w:t xml:space="preserve">This is the most immediately impactful contribution for RF-FAST. The original framework identified single-room coverage as its most critical deployment limitation. The ESP32S3 solution directly addresses this. The USRP N210 remains as the primary active FMCW radar in the main living area. A network of two to four ESP32S3 nodes, each costing under $15, is deployed in the remaining rooms: bedroom, bathroom, kitchen, and hallway. These nodes receive CSI from the existing home WiFi router — no new transmitter hardware required — and stream processed features to the edge hub. Together, the system achieves whole-home coverage at modest additional cost.</w:t>
      </w:r>
    </w:p>
    <w:p>
      <w:pPr>
        <w:spacing w:after="120"/>
      </w:pPr>
      <w:r>
        <w:rPr>
          <w:rFonts w:ascii="Arial" w:cs="Arial" w:eastAsia="Arial" w:hAnsi="Arial"/>
          <w:sz w:val="22"/>
          <w:szCs w:val="22"/>
        </w:rPr>
        <w:t xml:space="preserve">The sensor heterogeneity is architecturally important: the USRP provides high-bandwidth, controlled-waveform, micro-Doppler-capable sensing; the ESP32 nodes provide low-cost, opportunistic, room-level activity classification. Each modality has appropriate responsibilities in the inference pipeline.</w:t>
      </w:r>
    </w:p>
    <w:p>
      <w:pPr>
        <w:pStyle w:val="Heading2"/>
      </w:pPr>
      <w:r>
        <w:rPr>
          <w:rFonts w:ascii="Arial" w:cs="Arial" w:eastAsia="Arial" w:hAnsi="Arial"/>
        </w:rPr>
        <w:t xml:space="preserve">2.2 ResNet18 CSI Classification as a Parallel Inference Stream</w:t>
      </w:r>
    </w:p>
    <w:p>
      <w:pPr>
        <w:spacing w:after="120"/>
      </w:pPr>
      <w:r>
        <w:rPr>
          <w:rFonts w:ascii="Arial" w:cs="Arial" w:eastAsia="Arial" w:hAnsi="Arial"/>
          <w:sz w:val="22"/>
          <w:szCs w:val="22"/>
        </w:rPr>
        <w:t xml:space="preserve">The modified ResNet18 architecture — single-channel input convolutional layer, pretrained backbone, task-specific classification head — is adopted directly as the classification head for each ESP32S3 node's data stream. For RF-FAST, the model is not trained from scratch on Chen et al.'s dataset but fine-tuned using three stages:</w:t>
      </w:r>
    </w:p>
    <w:p>
      <w:pPr>
        <w:pStyle w:val="ListParagraph"/>
        <w:numPr>
          <w:ilvl w:val="0"/>
          <w:numId w:val="2"/>
        </w:numPr>
        <w:spacing w:after="60"/>
      </w:pPr>
      <w:r>
        <w:rPr>
          <w:rFonts w:ascii="Arial" w:cs="Arial" w:eastAsia="Arial" w:hAnsi="Arial"/>
          <w:b/>
          <w:bCs/>
          <w:sz w:val="22"/>
          <w:szCs w:val="22"/>
        </w:rPr>
        <w:t xml:space="preserve">Stage 1 — Domain pre-adaptation: </w:t>
      </w:r>
      <w:r>
        <w:rPr>
          <w:rFonts w:ascii="Arial" w:cs="Arial" w:eastAsia="Arial" w:hAnsi="Arial"/>
          <w:sz w:val="22"/>
          <w:szCs w:val="22"/>
        </w:rPr>
        <w:t xml:space="preserve">ResNet18 backbone initialised with ImageNet pretrained weights averaged across RGB channels. Backbone layers 1–3 frozen. Train backbone layer 4 and heads on Chen et al. dataset + public CSI datasets (NTU-Fi HAR, UT-HAR).</w:t>
      </w:r>
    </w:p>
    <w:p>
      <w:pPr>
        <w:pStyle w:val="ListParagraph"/>
        <w:numPr>
          <w:ilvl w:val="0"/>
          <w:numId w:val="2"/>
        </w:numPr>
        <w:spacing w:after="60"/>
      </w:pPr>
      <w:r>
        <w:rPr>
          <w:rFonts w:ascii="Arial" w:cs="Arial" w:eastAsia="Arial" w:hAnsi="Arial"/>
          <w:b/>
          <w:bCs/>
          <w:sz w:val="22"/>
          <w:szCs w:val="22"/>
        </w:rPr>
        <w:t xml:space="preserve">Stage 2 — Population fine-tuning: </w:t>
      </w:r>
      <w:r>
        <w:rPr>
          <w:rFonts w:ascii="Arial" w:cs="Arial" w:eastAsia="Arial" w:hAnsi="Arial"/>
          <w:sz w:val="22"/>
          <w:szCs w:val="22"/>
        </w:rPr>
        <w:t xml:space="preserve">Backbone layers 1–2 frozen, layers 3–4 and heads trained on Phase 2 data from older adults (50–80 years) with post-stroke movement patterns.</w:t>
      </w:r>
    </w:p>
    <w:p>
      <w:pPr>
        <w:pStyle w:val="ListParagraph"/>
        <w:numPr>
          <w:ilvl w:val="0"/>
          <w:numId w:val="2"/>
        </w:numPr>
        <w:spacing w:after="60"/>
      </w:pPr>
      <w:r>
        <w:rPr>
          <w:rFonts w:ascii="Arial" w:cs="Arial" w:eastAsia="Arial" w:hAnsi="Arial"/>
          <w:b/>
          <w:bCs/>
          <w:sz w:val="22"/>
          <w:szCs w:val="22"/>
        </w:rPr>
        <w:t xml:space="preserve">Stage 3 — Participant personalisation: </w:t>
      </w:r>
      <w:r>
        <w:rPr>
          <w:rFonts w:ascii="Arial" w:cs="Arial" w:eastAsia="Arial" w:hAnsi="Arial"/>
          <w:sz w:val="22"/>
          <w:szCs w:val="22"/>
        </w:rPr>
        <w:t xml:space="preserve">Backbone fully frozen, only classification heads trained (few-shot, ~50 samples/class) on the individual participant's own first 2 weeks of home monitoring data.</w:t>
      </w:r>
    </w:p>
    <w:p>
      <w:pPr>
        <w:spacing w:after="80"/>
      </w:pPr>
      <w:r>
        <w:t xml:space="preserve"/>
      </w:r>
    </w:p>
    <w:p>
      <w:pPr>
        <w:pStyle w:val="Heading2"/>
      </w:pPr>
      <w:r>
        <w:rPr>
          <w:rFonts w:ascii="Arial" w:cs="Arial" w:eastAsia="Arial" w:hAnsi="Arial"/>
        </w:rPr>
        <w:t xml:space="preserve">2.3 The (Time × Subcarrier) Image Representation</w:t>
      </w:r>
    </w:p>
    <w:p>
      <w:pPr>
        <w:spacing w:after="120"/>
      </w:pPr>
      <w:r>
        <w:rPr>
          <w:rFonts w:ascii="Arial" w:cs="Arial" w:eastAsia="Arial" w:hAnsi="Arial"/>
          <w:sz w:val="22"/>
          <w:szCs w:val="22"/>
        </w:rPr>
        <w:t xml:space="preserve">The (300 × 52) CSI matrix — time samples as rows, OFDM subcarriers as columns — has a direct parallel in FMCW processing. The analogous USRP representation is a (128 chirps × 256 range-bins) range-Doppler map, or equivalently a (time × Doppler-frequency) micro-Doppler spectrogram across a 3-second window. Treating both as single-channel images and processing them with the same CNN architecture creates a modality-agnostic pipeline that simplifies code maintenance and enables cross-modal transfer learning.</w:t>
      </w:r>
    </w:p>
    <w:p>
      <w:pPr>
        <w:spacing w:after="120"/>
      </w:pPr>
      <w:r>
        <w:rPr>
          <w:rFonts w:ascii="Arial" w:cs="Arial" w:eastAsia="Arial" w:hAnsi="Arial"/>
          <w:sz w:val="22"/>
          <w:szCs w:val="22"/>
        </w:rPr>
        <w:t xml:space="preserve">Linear interpolation resampling from Chen et al. is adopted for the sensor fusion challenge: wearable accelerometers (100 Hz), ESP32S3 CSI (variable ~80–100 Hz actual reception), and USRP frames (10 frames/second) operate at different rates. A common resampled representation at 100 Hz, with linear interpolation for USRP-derived features, provides a unified time axis.</w:t>
      </w:r>
    </w:p>
    <w:p>
      <w:pPr>
        <w:pStyle w:val="Heading2"/>
      </w:pPr>
      <w:r>
        <w:rPr>
          <w:rFonts w:ascii="Arial" w:cs="Arial" w:eastAsia="Arial" w:hAnsi="Arial"/>
        </w:rPr>
        <w:t xml:space="preserve">2.4 Binary vs Multi-Class Design Principle</w:t>
      </w:r>
    </w:p>
    <w:p>
      <w:pPr>
        <w:spacing w:after="120"/>
      </w:pPr>
      <w:r>
        <w:rPr>
          <w:rFonts w:ascii="Arial" w:cs="Arial" w:eastAsia="Arial" w:hAnsi="Arial"/>
          <w:sz w:val="22"/>
          <w:szCs w:val="22"/>
        </w:rPr>
        <w:t xml:space="preserve">The Chen et al. finding — binary classification (93.97%) substantially outperforming 5-class classification (84.05%) — has a direct design implication: rather than one multi-task model, the updated RF-FAST pipeline uses a cascade of specialised binary classifiers. The cascade is ordered by clinical urgency:</w:t>
      </w:r>
    </w:p>
    <w:p>
      <w:pPr>
        <w:pStyle w:val="ListParagraph"/>
        <w:numPr>
          <w:ilvl w:val="0"/>
          <w:numId w:val="2"/>
        </w:numPr>
        <w:spacing w:after="60"/>
      </w:pPr>
      <w:r>
        <w:rPr>
          <w:rFonts w:ascii="Arial" w:cs="Arial" w:eastAsia="Arial" w:hAnsi="Arial"/>
          <w:sz w:val="22"/>
          <w:szCs w:val="22"/>
        </w:rPr>
        <w:t xml:space="preserve">Priority 1 — Fall / near-fall detector: 3-second windows, 0.5-second slide, p &gt; 0.85 triggers immediate alert.</w:t>
      </w:r>
    </w:p>
    <w:p>
      <w:pPr>
        <w:pStyle w:val="ListParagraph"/>
        <w:numPr>
          <w:ilvl w:val="0"/>
          <w:numId w:val="2"/>
        </w:numPr>
        <w:spacing w:after="60"/>
      </w:pPr>
      <w:r>
        <w:rPr>
          <w:rFonts w:ascii="Arial" w:cs="Arial" w:eastAsia="Arial" w:hAnsi="Arial"/>
          <w:sz w:val="22"/>
          <w:szCs w:val="22"/>
        </w:rPr>
        <w:t xml:space="preserve">Priority 2 — Exercise adherence classifier: 10-second windows, recognises LiFE exercise signatures, replaces EARS self-report.</w:t>
      </w:r>
    </w:p>
    <w:p>
      <w:pPr>
        <w:pStyle w:val="ListParagraph"/>
        <w:numPr>
          <w:ilvl w:val="0"/>
          <w:numId w:val="2"/>
        </w:numPr>
        <w:spacing w:after="60"/>
      </w:pPr>
      <w:r>
        <w:rPr>
          <w:rFonts w:ascii="Arial" w:cs="Arial" w:eastAsia="Arial" w:hAnsi="Arial"/>
          <w:sz w:val="22"/>
          <w:szCs w:val="22"/>
        </w:rPr>
        <w:t xml:space="preserve">Priority 3 — Gait quality monitor: 30-second aggregated features, personalised autoencoder, anomaly detection against personal baseline.</w:t>
      </w:r>
    </w:p>
    <w:p>
      <w:pPr>
        <w:pStyle w:val="ListParagraph"/>
        <w:numPr>
          <w:ilvl w:val="0"/>
          <w:numId w:val="2"/>
        </w:numPr>
        <w:spacing w:after="60"/>
      </w:pPr>
      <w:r>
        <w:rPr>
          <w:rFonts w:ascii="Arial" w:cs="Arial" w:eastAsia="Arial" w:hAnsi="Arial"/>
          <w:sz w:val="22"/>
          <w:szCs w:val="22"/>
        </w:rPr>
        <w:t xml:space="preserve">Priority 4 — 7-day mobility decline predictor: daily summary features, XGBoost, calibrated probability output.</w:t>
      </w:r>
    </w:p>
    <w:p>
      <w:pPr>
        <w:spacing w:after="80"/>
      </w:pPr>
      <w:r>
        <w:t xml:space="preserve"/>
      </w:r>
    </w:p>
    <w:p>
      <w:pPr>
        <w:pStyle w:val="Heading2"/>
      </w:pPr>
      <w:r>
        <w:rPr>
          <w:rFonts w:ascii="Arial" w:cs="Arial" w:eastAsia="Arial" w:hAnsi="Arial"/>
        </w:rPr>
        <w:t xml:space="preserve">2.5 The t-SNE Vertical-Motion Insight — Clinical Re-interpretation</w:t>
      </w:r>
    </w:p>
    <w:p>
      <w:pPr>
        <w:spacing w:after="120"/>
      </w:pPr>
      <w:r>
        <w:rPr>
          <w:rFonts w:ascii="Arial" w:cs="Arial" w:eastAsia="Arial" w:hAnsi="Arial"/>
          <w:sz w:val="22"/>
          <w:szCs w:val="22"/>
        </w:rPr>
        <w:t xml:space="preserve">The clustering of sit-down and stand-up actions near fall events in the Chen et al. t-SNE visualisation reflects a fundamental physical fact: WiFi CSI at 2.4 GHz with a 1.25 m Tx-Rx separation is most sensitive to vertical displacement of the body's centre of mass, because vertical motion perpendicular to the direct Tx-Rx path produces the largest Fresnel zone perturbations.</w:t>
      </w:r>
    </w:p>
    <w:p>
      <w:pPr>
        <w:spacing w:after="120"/>
      </w:pPr>
      <w:r>
        <w:rPr>
          <w:rFonts w:ascii="Arial" w:cs="Arial" w:eastAsia="Arial" w:hAnsi="Arial"/>
          <w:sz w:val="22"/>
          <w:szCs w:val="22"/>
        </w:rPr>
        <w:t xml:space="preserve">For RF-FAST, this has a specific clinical implication. The most dangerous moments for post-stroke survivors are sit-to-stand transfers and nocturnal rising from bed — both involving significant vertical displacement. The CSI sensitivity profile is therefore well-matched to the highest-risk activities in this population. However, postural sway during standing and lateral stepping (key LiFE exercises) may be poorly captured by ESP32 CSI nodes compared to the FMCW radar, which has explicit Doppler resolution in all directions. This motivates the complementary sensing design: FMCW for lateral/rotational motion, CSI for vertical transitions.</w:t>
      </w:r>
    </w:p>
    <w:p>
      <w:pPr>
        <w:spacing w:after="80"/>
      </w:pPr>
      <w:r>
        <w:t xml:space="preserve"/>
      </w:r>
    </w:p>
    <w:p>
      <w:r>
        <w:br w:type="page"/>
      </w:r>
    </w:p>
    <w:p>
      <w:pPr>
        <w:pStyle w:val="Heading1"/>
      </w:pPr>
      <w:r>
        <w:rPr>
          <w:rFonts w:ascii="Arial" w:cs="Arial" w:eastAsia="Arial" w:hAnsi="Arial"/>
        </w:rPr>
        <w:t xml:space="preserve">Part 3: Updated End-to-End System Architecture</w:t>
      </w:r>
    </w:p>
    <w:p>
      <w:pPr>
        <w:pStyle w:val="Heading2"/>
      </w:pPr>
      <w:r>
        <w:rPr>
          <w:rFonts w:ascii="Arial" w:cs="Arial" w:eastAsia="Arial" w:hAnsi="Arial"/>
        </w:rPr>
        <w:t xml:space="preserve">3.1 Architecture Overview</w:t>
      </w:r>
    </w:p>
    <w:p>
      <w:pPr>
        <w:spacing w:after="120"/>
      </w:pPr>
      <w:r>
        <w:rPr>
          <w:rFonts w:ascii="Arial" w:cs="Arial" w:eastAsia="Arial" w:hAnsi="Arial"/>
          <w:sz w:val="22"/>
          <w:szCs w:val="22"/>
        </w:rPr>
        <w:t xml:space="preserve">The updated system has five sensing inputs, three processing tiers, two AI inference tracks that merge into a unified risk assessment, a blockchain-secured audit layer, and a clinical interface. The architecture is designed for a single-occupancy or primary-occupant home. All sensing modalities feed into the edge hub; raw RF data and raw accelerometry never leave the home.</w:t>
      </w:r>
    </w:p>
    <w:p>
      <w:pPr>
        <w:pStyle w:val="Heading2"/>
      </w:pPr>
      <w:r>
        <w:rPr>
          <w:rFonts w:ascii="Arial" w:cs="Arial" w:eastAsia="Arial" w:hAnsi="Arial"/>
        </w:rPr>
        <w:t xml:space="preserve">3.2 Sensing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USRP N210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FMCW radar. f0 = 2.4 GHz or 5.8 GHz (recommended for RF isolation), B = 200 MHz, Tc = 1 ms. 10 range-Doppler maps/second. Main living room coverage, 6–8 m range. GigE to edge hub via UHD 4.x driver.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ESP32S3 nodes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WiFi CSI. Bedroom, bathroom, kitchen. Ping to home router at 100 Hz, 52 OFDM subcarriers, amplitude only. MQTT over local WiFi to edge hub. Cost: ~$15 AUD per node. No new transmitter hardware required.</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Wrist IMU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3-axis accelerometry + gyroscope at 100 Hz. Heart rate variability (RMSSD). Worn on non-hemiplegic wrist. Primary wearable modality.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Environmental sensors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infrared motion (4 rooms), door contact sensors, bedside and bathroom threshold pressure mats. Zigbee to edge hub. Room-level context without identifiable video.</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Home WiFi router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router acts as CSI transmitter for all ESP32S3 nodes. No modification required. Operates on channels 1 or 6 (2.4 GHz) to avoid interference with USRP on channel 11 or 5.8 GHz band.</w:t>
            </w:r>
          </w:p>
        </w:tc>
      </w:tr>
    </w:tbl>
    <w:p>
      <w:pPr>
        <w:spacing w:after="80"/>
      </w:pPr>
      <w:r>
        <w:t xml:space="preserve"/>
      </w:r>
    </w:p>
    <w:p>
      <w:pPr>
        <w:pStyle w:val="Heading2"/>
      </w:pPr>
      <w:r>
        <w:rPr>
          <w:rFonts w:ascii="Arial" w:cs="Arial" w:eastAsia="Arial" w:hAnsi="Arial"/>
        </w:rPr>
        <w:t xml:space="preserve">3.3 Edge Hub — Privacy Enforcement Point</w:t>
      </w:r>
    </w:p>
    <w:p>
      <w:pPr>
        <w:spacing w:after="120"/>
      </w:pPr>
      <w:r>
        <w:rPr>
          <w:rFonts w:ascii="Arial" w:cs="Arial" w:eastAsia="Arial" w:hAnsi="Arial"/>
          <w:sz w:val="22"/>
          <w:szCs w:val="22"/>
        </w:rPr>
        <w:t xml:space="preserve">A Raspberry Pi 4B aggregates all sensing streams. This device is the hard privacy boundary: raw RF signals and raw accelerometry never leave it. Only feature vectors are transmitted to the cloud AI layer over TLS. This is a system constraint, not a configuration option. Functions include: GigE interface to USRP N210 (UHD driver, GNU Radio runtime); WiFi MQTT ingestion from ESP32S3 nodes; BLE gateway for wearable; NTP synchronisation across all streams (target: ≤50 ms inter-stream error).</w:t>
      </w:r>
    </w:p>
    <w:p>
      <w:pPr>
        <w:pStyle w:val="Heading2"/>
      </w:pPr>
      <w:r>
        <w:rPr>
          <w:rFonts w:ascii="Arial" w:cs="Arial" w:eastAsia="Arial" w:hAnsi="Arial"/>
        </w:rPr>
        <w:t xml:space="preserve">3.4 Signal Processing Layer (Dell Pro Max Tower T2)</w:t>
      </w:r>
    </w:p>
    <w:p>
      <w:pPr>
        <w:pStyle w:val="Heading3"/>
      </w:pPr>
      <w:r>
        <w:rPr>
          <w:rFonts w:ascii="Arial" w:cs="Arial" w:eastAsia="Arial" w:hAnsi="Arial"/>
        </w:rPr>
        <w:t xml:space="preserve">3.4.1 FMCW Pipeline (GNU Radio + Python)</w:t>
      </w:r>
    </w:p>
    <w:p>
      <w:pPr>
        <w:spacing w:after="120"/>
      </w:pPr>
      <w:r>
        <w:rPr>
          <w:rFonts w:ascii="Arial" w:cs="Arial" w:eastAsia="Arial" w:hAnsi="Arial"/>
          <w:sz w:val="22"/>
          <w:szCs w:val="22"/>
        </w:rPr>
        <w:t xml:space="preserve">Raw IQ samples (complex64, 20 MS/s) flow through the following stages:</w:t>
      </w:r>
    </w:p>
    <w:p>
      <w:pPr>
        <w:pStyle w:val="ListParagraph"/>
        <w:numPr>
          <w:ilvl w:val="0"/>
          <w:numId w:val="2"/>
        </w:numPr>
        <w:spacing w:after="60"/>
      </w:pPr>
      <w:r>
        <w:rPr>
          <w:rFonts w:ascii="Arial" w:cs="Arial" w:eastAsia="Arial" w:hAnsi="Arial"/>
          <w:sz w:val="22"/>
          <w:szCs w:val="22"/>
        </w:rPr>
        <w:t xml:space="preserve">Dechirp: multiply received signal with time-delayed copy of TX chirp</w:t>
      </w:r>
    </w:p>
    <w:p>
      <w:pPr>
        <w:pStyle w:val="ListParagraph"/>
        <w:numPr>
          <w:ilvl w:val="0"/>
          <w:numId w:val="2"/>
        </w:numPr>
        <w:spacing w:after="60"/>
      </w:pPr>
      <w:r>
        <w:rPr>
          <w:rFonts w:ascii="Arial" w:cs="Arial" w:eastAsia="Arial" w:hAnsi="Arial"/>
          <w:sz w:val="22"/>
          <w:szCs w:val="22"/>
        </w:rPr>
        <w:t xml:space="preserve">Low-pass filter: cutoff frequency = B × Tmax / c (where Tmax is maximum expected target range)</w:t>
      </w:r>
    </w:p>
    <w:p>
      <w:pPr>
        <w:pStyle w:val="ListParagraph"/>
        <w:numPr>
          <w:ilvl w:val="0"/>
          <w:numId w:val="2"/>
        </w:numPr>
        <w:spacing w:after="60"/>
      </w:pPr>
      <w:r>
        <w:rPr>
          <w:rFonts w:ascii="Arial" w:cs="Arial" w:eastAsia="Arial" w:hAnsi="Arial"/>
          <w:sz w:val="22"/>
          <w:szCs w:val="22"/>
        </w:rPr>
        <w:t xml:space="preserve">Range FFT: N = 512 points, Hann window — produces beat spectrum per chirp</w:t>
      </w:r>
    </w:p>
    <w:p>
      <w:pPr>
        <w:pStyle w:val="ListParagraph"/>
        <w:numPr>
          <w:ilvl w:val="0"/>
          <w:numId w:val="2"/>
        </w:numPr>
        <w:spacing w:after="60"/>
      </w:pPr>
      <w:r>
        <w:rPr>
          <w:rFonts w:ascii="Arial" w:cs="Arial" w:eastAsia="Arial" w:hAnsi="Arial"/>
          <w:sz w:val="22"/>
          <w:szCs w:val="22"/>
        </w:rPr>
        <w:t xml:space="preserve">Stack 128 chirps into range-time matrix</w:t>
      </w:r>
    </w:p>
    <w:p>
      <w:pPr>
        <w:pStyle w:val="ListParagraph"/>
        <w:numPr>
          <w:ilvl w:val="0"/>
          <w:numId w:val="2"/>
        </w:numPr>
        <w:spacing w:after="60"/>
      </w:pPr>
      <w:r>
        <w:rPr>
          <w:rFonts w:ascii="Arial" w:cs="Arial" w:eastAsia="Arial" w:hAnsi="Arial"/>
          <w:sz w:val="22"/>
          <w:szCs w:val="22"/>
        </w:rPr>
        <w:t xml:space="preserve">Doppler FFT across slow-time dimension: N = 128 points, Hann window</w:t>
      </w:r>
    </w:p>
    <w:p>
      <w:pPr>
        <w:pStyle w:val="ListParagraph"/>
        <w:numPr>
          <w:ilvl w:val="0"/>
          <w:numId w:val="2"/>
        </w:numPr>
        <w:spacing w:after="60"/>
      </w:pPr>
      <w:r>
        <w:rPr>
          <w:rFonts w:ascii="Arial" w:cs="Arial" w:eastAsia="Arial" w:hAnsi="Arial"/>
          <w:sz w:val="22"/>
          <w:szCs w:val="22"/>
        </w:rPr>
        <w:t xml:space="preserve">Output: range-Doppler map (128 × 512 complex) at 10 maps/second</w:t>
      </w:r>
    </w:p>
    <w:p>
      <w:pPr>
        <w:pStyle w:val="ListParagraph"/>
        <w:numPr>
          <w:ilvl w:val="0"/>
          <w:numId w:val="2"/>
        </w:numPr>
        <w:spacing w:after="60"/>
      </w:pPr>
      <w:r>
        <w:rPr>
          <w:rFonts w:ascii="Arial" w:cs="Arial" w:eastAsia="Arial" w:hAnsi="Arial"/>
          <w:sz w:val="22"/>
          <w:szCs w:val="22"/>
        </w:rPr>
        <w:t xml:space="preserve">Micro-Doppler spectrogram: sum energy across detected range bins (CFAR, 12 dB SINR) → (128 Doppler bins × 300 time bins) CNN input</w:t>
      </w:r>
    </w:p>
    <w:p>
      <w:pPr>
        <w:spacing w:after="80"/>
      </w:pPr>
      <w:r>
        <w:t xml:space="preserve"/>
      </w:r>
    </w:p>
    <w:p>
      <w:pPr>
        <w:pStyle w:val="Heading3"/>
      </w:pPr>
      <w:r>
        <w:rPr>
          <w:rFonts w:ascii="Arial" w:cs="Arial" w:eastAsia="Arial" w:hAnsi="Arial"/>
        </w:rPr>
        <w:t xml:space="preserve">3.4.2 CSI Pipeline (per ESP32S3 node, following Chen et al.)</w:t>
      </w:r>
    </w:p>
    <w:p>
      <w:pPr>
        <w:spacing w:after="120"/>
      </w:pPr>
      <w:r>
        <w:rPr>
          <w:rFonts w:ascii="Arial" w:cs="Arial" w:eastAsia="Arial" w:hAnsi="Arial"/>
          <w:sz w:val="22"/>
          <w:szCs w:val="22"/>
        </w:rPr>
        <w:t xml:space="preserve">Each 3-second window of raw CSI packets processed as follows:</w:t>
      </w:r>
    </w:p>
    <w:p>
      <w:pPr>
        <w:pStyle w:val="ListParagraph"/>
        <w:numPr>
          <w:ilvl w:val="0"/>
          <w:numId w:val="2"/>
        </w:numPr>
        <w:spacing w:after="60"/>
      </w:pPr>
      <w:r>
        <w:rPr>
          <w:rFonts w:ascii="Arial" w:cs="Arial" w:eastAsia="Arial" w:hAnsi="Arial"/>
          <w:sz w:val="22"/>
          <w:szCs w:val="22"/>
        </w:rPr>
        <w:t xml:space="preserve">Buffer variable packet count (~80–100 received at ~100 Hz nominal)</w:t>
      </w:r>
    </w:p>
    <w:p>
      <w:pPr>
        <w:pStyle w:val="ListParagraph"/>
        <w:numPr>
          <w:ilvl w:val="0"/>
          <w:numId w:val="2"/>
        </w:numPr>
        <w:spacing w:after="60"/>
      </w:pPr>
      <w:r>
        <w:rPr>
          <w:rFonts w:ascii="Arial" w:cs="Arial" w:eastAsia="Arial" w:hAnsi="Arial"/>
          <w:sz w:val="22"/>
          <w:szCs w:val="22"/>
        </w:rPr>
        <w:t xml:space="preserve">Linear interpolation resampling to exactly 300 packets (Chen et al. method)</w:t>
      </w:r>
    </w:p>
    <w:p>
      <w:pPr>
        <w:pStyle w:val="ListParagraph"/>
        <w:numPr>
          <w:ilvl w:val="0"/>
          <w:numId w:val="2"/>
        </w:numPr>
        <w:spacing w:after="60"/>
      </w:pPr>
      <w:r>
        <w:rPr>
          <w:rFonts w:ascii="Arial" w:cs="Arial" w:eastAsia="Arial" w:hAnsi="Arial"/>
          <w:sz w:val="22"/>
          <w:szCs w:val="22"/>
        </w:rPr>
        <w:t xml:space="preserve">Amplitude matrix extraction: |hk| for k = 1..52 subcarriers, phase discarded</w:t>
      </w:r>
    </w:p>
    <w:p>
      <w:pPr>
        <w:pStyle w:val="ListParagraph"/>
        <w:numPr>
          <w:ilvl w:val="0"/>
          <w:numId w:val="2"/>
        </w:numPr>
        <w:spacing w:after="60"/>
      </w:pPr>
      <w:r>
        <w:rPr>
          <w:rFonts w:ascii="Arial" w:cs="Arial" w:eastAsia="Arial" w:hAnsi="Arial"/>
          <w:sz w:val="22"/>
          <w:szCs w:val="22"/>
        </w:rPr>
        <w:t xml:space="preserve">Per-subcarrier z-score normalisation: removes static multipath DC component</w:t>
      </w:r>
    </w:p>
    <w:p>
      <w:pPr>
        <w:pStyle w:val="ListParagraph"/>
        <w:numPr>
          <w:ilvl w:val="0"/>
          <w:numId w:val="2"/>
        </w:numPr>
        <w:spacing w:after="60"/>
      </w:pPr>
      <w:r>
        <w:rPr>
          <w:rFonts w:ascii="Arial" w:cs="Arial" w:eastAsia="Arial" w:hAnsi="Arial"/>
          <w:sz w:val="22"/>
          <w:szCs w:val="22"/>
        </w:rPr>
        <w:t xml:space="preserve">5-tap median filter along time axis: suppresses spike noise</w:t>
      </w:r>
    </w:p>
    <w:p>
      <w:pPr>
        <w:pStyle w:val="ListParagraph"/>
        <w:numPr>
          <w:ilvl w:val="0"/>
          <w:numId w:val="2"/>
        </w:numPr>
        <w:spacing w:after="60"/>
      </w:pPr>
      <w:r>
        <w:rPr>
          <w:rFonts w:ascii="Arial" w:cs="Arial" w:eastAsia="Arial" w:hAnsi="Arial"/>
          <w:sz w:val="22"/>
          <w:szCs w:val="22"/>
        </w:rPr>
        <w:t xml:space="preserve">Vertical motion index computation: amplitude-weighted sum across subcarriers (weights calibrated from per-participant data)</w:t>
      </w:r>
    </w:p>
    <w:p>
      <w:pPr>
        <w:pStyle w:val="ListParagraph"/>
        <w:numPr>
          <w:ilvl w:val="0"/>
          <w:numId w:val="2"/>
        </w:numPr>
        <w:spacing w:after="60"/>
      </w:pPr>
      <w:r>
        <w:rPr>
          <w:rFonts w:ascii="Arial" w:cs="Arial" w:eastAsia="Arial" w:hAnsi="Arial"/>
          <w:sz w:val="22"/>
          <w:szCs w:val="22"/>
        </w:rPr>
        <w:t xml:space="preserve">Output: (300 × 52) normalised amplitude matrix as CNN input</w:t>
      </w:r>
    </w:p>
    <w:p>
      <w:pPr>
        <w:spacing w:after="80"/>
      </w:pPr>
      <w:r>
        <w:t xml:space="preserve"/>
      </w:r>
    </w:p>
    <w:p>
      <w:pPr>
        <w:pStyle w:val="Heading2"/>
      </w:pPr>
      <w:r>
        <w:rPr>
          <w:rFonts w:ascii="Arial" w:cs="Arial" w:eastAsia="Arial" w:hAnsi="Arial"/>
        </w:rPr>
        <w:t xml:space="preserve">3.5 Feature Extraction Layer</w:t>
      </w:r>
    </w:p>
    <w:p>
      <w:pPr>
        <w:pStyle w:val="Heading3"/>
      </w:pPr>
      <w:r>
        <w:rPr>
          <w:rFonts w:ascii="Arial" w:cs="Arial" w:eastAsia="Arial" w:hAnsi="Arial"/>
        </w:rPr>
        <w:t xml:space="preserve">3.5.1 FMCW Gait Features (per 30-second window)</w:t>
      </w:r>
    </w:p>
    <w:p>
      <w:pPr>
        <w:spacing w:after="120"/>
      </w:pPr>
      <w:r>
        <w:rPr>
          <w:rFonts w:ascii="Arial" w:cs="Arial" w:eastAsia="Arial" w:hAnsi="Arial"/>
          <w:sz w:val="22"/>
          <w:szCs w:val="22"/>
        </w:rPr>
        <w:t xml:space="preserve">Six primary features computed per 30-second window (300 range-Doppler maps), plus derived statistics:</w:t>
      </w:r>
    </w:p>
    <w:p>
      <w:pPr>
        <w:pStyle w:val="ListParagraph"/>
        <w:numPr>
          <w:ilvl w:val="0"/>
          <w:numId w:val="2"/>
        </w:numPr>
        <w:spacing w:after="60"/>
      </w:pPr>
      <w:r>
        <w:rPr>
          <w:rFonts w:ascii="Arial" w:cs="Arial" w:eastAsia="Arial" w:hAnsi="Arial"/>
          <w:sz w:val="22"/>
          <w:szCs w:val="22"/>
        </w:rPr>
        <w:t xml:space="preserve">Cadence (steps/min): estimated from periodicity of Doppler peaks</w:t>
      </w:r>
    </w:p>
    <w:p>
      <w:pPr>
        <w:pStyle w:val="ListParagraph"/>
        <w:numPr>
          <w:ilvl w:val="0"/>
          <w:numId w:val="2"/>
        </w:numPr>
        <w:spacing w:after="60"/>
      </w:pPr>
      <w:r>
        <w:rPr>
          <w:rFonts w:ascii="Arial" w:cs="Arial" w:eastAsia="Arial" w:hAnsi="Arial"/>
          <w:sz w:val="22"/>
          <w:szCs w:val="22"/>
        </w:rPr>
        <w:t xml:space="preserve">Stride symmetry ratio: Doppler energy balance between left and right limb returns</w:t>
      </w:r>
    </w:p>
    <w:p>
      <w:pPr>
        <w:pStyle w:val="ListParagraph"/>
        <w:numPr>
          <w:ilvl w:val="0"/>
          <w:numId w:val="2"/>
        </w:numPr>
        <w:spacing w:after="60"/>
      </w:pPr>
      <w:r>
        <w:rPr>
          <w:rFonts w:ascii="Arial" w:cs="Arial" w:eastAsia="Arial" w:hAnsi="Arial"/>
          <w:sz w:val="22"/>
          <w:szCs w:val="22"/>
        </w:rPr>
        <w:t xml:space="preserve">Torso-to-limb Doppler energy ratio: proxy for upper body sway relative to limb movement</w:t>
      </w:r>
    </w:p>
    <w:p>
      <w:pPr>
        <w:pStyle w:val="ListParagraph"/>
        <w:numPr>
          <w:ilvl w:val="0"/>
          <w:numId w:val="2"/>
        </w:numPr>
        <w:spacing w:after="60"/>
      </w:pPr>
      <w:r>
        <w:rPr>
          <w:rFonts w:ascii="Arial" w:cs="Arial" w:eastAsia="Arial" w:hAnsi="Arial"/>
          <w:sz w:val="22"/>
          <w:szCs w:val="22"/>
        </w:rPr>
        <w:t xml:space="preserve">Micro-Doppler entropy per frequency band: captures gait complexity</w:t>
      </w:r>
    </w:p>
    <w:p>
      <w:pPr>
        <w:pStyle w:val="ListParagraph"/>
        <w:numPr>
          <w:ilvl w:val="0"/>
          <w:numId w:val="2"/>
        </w:numPr>
        <w:spacing w:after="60"/>
      </w:pPr>
      <w:r>
        <w:rPr>
          <w:rFonts w:ascii="Arial" w:cs="Arial" w:eastAsia="Arial" w:hAnsi="Arial"/>
          <w:sz w:val="22"/>
          <w:szCs w:val="22"/>
        </w:rPr>
        <w:t xml:space="preserve">Sway amplitude: lateral Doppler variation during stance phases</w:t>
      </w:r>
    </w:p>
    <w:p>
      <w:pPr>
        <w:pStyle w:val="ListParagraph"/>
        <w:numPr>
          <w:ilvl w:val="0"/>
          <w:numId w:val="2"/>
        </w:numPr>
        <w:spacing w:after="60"/>
      </w:pPr>
      <w:r>
        <w:rPr>
          <w:rFonts w:ascii="Arial" w:cs="Arial" w:eastAsia="Arial" w:hAnsi="Arial"/>
          <w:sz w:val="22"/>
          <w:szCs w:val="22"/>
        </w:rPr>
        <w:t xml:space="preserve">Step regularity: autocorrelation coefficient of the stride sequence</w:t>
      </w:r>
    </w:p>
    <w:p>
      <w:pPr>
        <w:pStyle w:val="ListParagraph"/>
        <w:numPr>
          <w:ilvl w:val="0"/>
          <w:numId w:val="2"/>
        </w:numPr>
        <w:spacing w:after="60"/>
      </w:pPr>
      <w:r>
        <w:rPr>
          <w:rFonts w:ascii="Arial" w:cs="Arial" w:eastAsia="Arial" w:hAnsi="Arial"/>
          <w:sz w:val="22"/>
          <w:szCs w:val="22"/>
        </w:rPr>
        <w:t xml:space="preserve">Derived: coefficient of variation (CV) for cadence, 7-day trend slope for each feature</w:t>
      </w:r>
    </w:p>
    <w:p>
      <w:pPr>
        <w:spacing w:after="80"/>
      </w:pPr>
      <w:r>
        <w:t xml:space="preserve"/>
      </w:r>
    </w:p>
    <w:p>
      <w:pPr>
        <w:pStyle w:val="Heading3"/>
      </w:pPr>
      <w:r>
        <w:rPr>
          <w:rFonts w:ascii="Arial" w:cs="Arial" w:eastAsia="Arial" w:hAnsi="Arial"/>
        </w:rPr>
        <w:t xml:space="preserve">3.5.2 CSI Activity Features (per 3-second window, per room node)</w:t>
      </w:r>
    </w:p>
    <w:p>
      <w:pPr>
        <w:pStyle w:val="ListParagraph"/>
        <w:numPr>
          <w:ilvl w:val="0"/>
          <w:numId w:val="2"/>
        </w:numPr>
        <w:spacing w:after="60"/>
      </w:pPr>
      <w:r>
        <w:rPr>
          <w:rFonts w:ascii="Arial" w:cs="Arial" w:eastAsia="Arial" w:hAnsi="Arial"/>
          <w:sz w:val="22"/>
          <w:szCs w:val="22"/>
        </w:rPr>
        <w:t xml:space="preserve">Amplitude variance across the (300 × 52) matrix: overall motion energy proxy</w:t>
      </w:r>
    </w:p>
    <w:p>
      <w:pPr>
        <w:pStyle w:val="ListParagraph"/>
        <w:numPr>
          <w:ilvl w:val="0"/>
          <w:numId w:val="2"/>
        </w:numPr>
        <w:spacing w:after="60"/>
      </w:pPr>
      <w:r>
        <w:rPr>
          <w:rFonts w:ascii="Arial" w:cs="Arial" w:eastAsia="Arial" w:hAnsi="Arial"/>
          <w:sz w:val="22"/>
          <w:szCs w:val="22"/>
        </w:rPr>
        <w:t xml:space="preserve">Vertical motion energy ratio: weighted subcarrier sum emphasising vertical displacement (per t-SNE finding of Chen et al.)</w:t>
      </w:r>
    </w:p>
    <w:p>
      <w:pPr>
        <w:pStyle w:val="ListParagraph"/>
        <w:numPr>
          <w:ilvl w:val="0"/>
          <w:numId w:val="2"/>
        </w:numPr>
        <w:spacing w:after="60"/>
      </w:pPr>
      <w:r>
        <w:rPr>
          <w:rFonts w:ascii="Arial" w:cs="Arial" w:eastAsia="Arial" w:hAnsi="Arial"/>
          <w:sz w:val="22"/>
          <w:szCs w:val="22"/>
        </w:rPr>
        <w:t xml:space="preserve">Transition event count: high-variance amplitude spikes marking sit-to-stand or stand-to-sit</w:t>
      </w:r>
    </w:p>
    <w:p>
      <w:pPr>
        <w:pStyle w:val="ListParagraph"/>
        <w:numPr>
          <w:ilvl w:val="0"/>
          <w:numId w:val="2"/>
        </w:numPr>
        <w:spacing w:after="60"/>
      </w:pPr>
      <w:r>
        <w:rPr>
          <w:rFonts w:ascii="Arial" w:cs="Arial" w:eastAsia="Arial" w:hAnsi="Arial"/>
          <w:sz w:val="22"/>
          <w:szCs w:val="22"/>
        </w:rPr>
        <w:t xml:space="preserve">Room occupancy state: thresholded variance, confirmed by PIR sensor</w:t>
      </w:r>
    </w:p>
    <w:p>
      <w:pPr>
        <w:pStyle w:val="ListParagraph"/>
        <w:numPr>
          <w:ilvl w:val="0"/>
          <w:numId w:val="2"/>
        </w:numPr>
        <w:spacing w:after="60"/>
      </w:pPr>
      <w:r>
        <w:rPr>
          <w:rFonts w:ascii="Arial" w:cs="Arial" w:eastAsia="Arial" w:hAnsi="Arial"/>
          <w:sz w:val="22"/>
          <w:szCs w:val="22"/>
        </w:rPr>
        <w:t xml:space="preserve">Subcarrier correlation structure: changes in correlation pattern when body position changes</w:t>
      </w:r>
    </w:p>
    <w:p>
      <w:pPr>
        <w:spacing w:after="80"/>
      </w:pPr>
      <w:r>
        <w:t xml:space="preserve"/>
      </w:r>
    </w:p>
    <w:p>
      <w:pPr>
        <w:pStyle w:val="Heading3"/>
      </w:pPr>
      <w:r>
        <w:rPr>
          <w:rFonts w:ascii="Arial" w:cs="Arial" w:eastAsia="Arial" w:hAnsi="Arial"/>
        </w:rPr>
        <w:t xml:space="preserve">3.5.3 Wearable Feature Vector (per 30-second window)</w:t>
      </w:r>
    </w:p>
    <w:p>
      <w:pPr>
        <w:pStyle w:val="ListParagraph"/>
        <w:numPr>
          <w:ilvl w:val="0"/>
          <w:numId w:val="2"/>
        </w:numPr>
        <w:spacing w:after="60"/>
      </w:pPr>
      <w:r>
        <w:rPr>
          <w:rFonts w:ascii="Arial" w:cs="Arial" w:eastAsia="Arial" w:hAnsi="Arial"/>
          <w:sz w:val="22"/>
          <w:szCs w:val="22"/>
        </w:rPr>
        <w:t xml:space="preserve">Jerk RMS: third derivative of acceleration — sensitive to postural instability and near-falls</w:t>
      </w:r>
    </w:p>
    <w:p>
      <w:pPr>
        <w:pStyle w:val="ListParagraph"/>
        <w:numPr>
          <w:ilvl w:val="0"/>
          <w:numId w:val="2"/>
        </w:numPr>
        <w:spacing w:after="60"/>
      </w:pPr>
      <w:r>
        <w:rPr>
          <w:rFonts w:ascii="Arial" w:cs="Arial" w:eastAsia="Arial" w:hAnsi="Arial"/>
          <w:sz w:val="22"/>
          <w:szCs w:val="22"/>
        </w:rPr>
        <w:t xml:space="preserve">Step detection cadence: cross-modal validation against FMCW cadence estimate</w:t>
      </w:r>
    </w:p>
    <w:p>
      <w:pPr>
        <w:pStyle w:val="ListParagraph"/>
        <w:numPr>
          <w:ilvl w:val="0"/>
          <w:numId w:val="2"/>
        </w:numPr>
        <w:spacing w:after="60"/>
      </w:pPr>
      <w:r>
        <w:rPr>
          <w:rFonts w:ascii="Arial" w:cs="Arial" w:eastAsia="Arial" w:hAnsi="Arial"/>
          <w:sz w:val="22"/>
          <w:szCs w:val="22"/>
        </w:rPr>
        <w:t xml:space="preserve">Stride time mean and coefficient of variation</w:t>
      </w:r>
    </w:p>
    <w:p>
      <w:pPr>
        <w:pStyle w:val="ListParagraph"/>
        <w:numPr>
          <w:ilvl w:val="0"/>
          <w:numId w:val="2"/>
        </w:numPr>
        <w:spacing w:after="60"/>
      </w:pPr>
      <w:r>
        <w:rPr>
          <w:rFonts w:ascii="Arial" w:cs="Arial" w:eastAsia="Arial" w:hAnsi="Arial"/>
          <w:sz w:val="22"/>
          <w:szCs w:val="22"/>
        </w:rPr>
        <w:t xml:space="preserve">HRV RMSSD and pNN50: fatigue proxies for next-day risk elevation</w:t>
      </w:r>
    </w:p>
    <w:p>
      <w:pPr>
        <w:pStyle w:val="ListParagraph"/>
        <w:numPr>
          <w:ilvl w:val="0"/>
          <w:numId w:val="2"/>
        </w:numPr>
        <w:spacing w:after="60"/>
      </w:pPr>
      <w:r>
        <w:rPr>
          <w:rFonts w:ascii="Arial" w:cs="Arial" w:eastAsia="Arial" w:hAnsi="Arial"/>
          <w:sz w:val="22"/>
          <w:szCs w:val="22"/>
        </w:rPr>
        <w:t xml:space="preserve">Activity bout duration: longest continuous movement bout</w:t>
      </w:r>
    </w:p>
    <w:p>
      <w:pPr>
        <w:pStyle w:val="ListParagraph"/>
        <w:numPr>
          <w:ilvl w:val="0"/>
          <w:numId w:val="2"/>
        </w:numPr>
        <w:spacing w:after="60"/>
      </w:pPr>
      <w:r>
        <w:rPr>
          <w:rFonts w:ascii="Arial" w:cs="Arial" w:eastAsia="Arial" w:hAnsi="Arial"/>
          <w:sz w:val="22"/>
          <w:szCs w:val="22"/>
        </w:rPr>
        <w:t xml:space="preserve">Sedentary fraction</w:t>
      </w:r>
    </w:p>
    <w:p>
      <w:pPr>
        <w:pStyle w:val="ListParagraph"/>
        <w:numPr>
          <w:ilvl w:val="0"/>
          <w:numId w:val="2"/>
        </w:numPr>
        <w:spacing w:after="60"/>
      </w:pPr>
      <w:r>
        <w:rPr>
          <w:rFonts w:ascii="Arial" w:cs="Arial" w:eastAsia="Arial" w:hAnsi="Arial"/>
          <w:sz w:val="22"/>
          <w:szCs w:val="22"/>
        </w:rPr>
        <w:t xml:space="preserve">Environmental context flags: time-of-day, room (PIR-inferred), door event in past 60 seconds</w:t>
      </w:r>
    </w:p>
    <w:p>
      <w:pPr>
        <w:spacing w:after="80"/>
      </w:pPr>
      <w:r>
        <w:t xml:space="preserve"/>
      </w:r>
    </w:p>
    <w:p>
      <w:r>
        <w:br w:type="page"/>
      </w:r>
    </w:p>
    <w:p>
      <w:pPr>
        <w:pStyle w:val="Heading1"/>
      </w:pPr>
      <w:r>
        <w:rPr>
          <w:rFonts w:ascii="Arial" w:cs="Arial" w:eastAsia="Arial" w:hAnsi="Arial"/>
        </w:rPr>
        <w:t xml:space="preserve">Part 4: AI / ML Inference Pipeline</w:t>
      </w:r>
    </w:p>
    <w:p>
      <w:pPr>
        <w:pStyle w:val="Heading2"/>
      </w:pPr>
      <w:r>
        <w:rPr>
          <w:rFonts w:ascii="Arial" w:cs="Arial" w:eastAsia="Arial" w:hAnsi="Arial"/>
        </w:rPr>
        <w:t xml:space="preserve">4.1 Stream A — FMCW Micro-Doppler CNN</w:t>
      </w:r>
    </w:p>
    <w:p>
      <w:pPr>
        <w:spacing w:after="120"/>
      </w:pPr>
      <w:r>
        <w:rPr>
          <w:rFonts w:ascii="Arial" w:cs="Arial" w:eastAsia="Arial" w:hAnsi="Arial"/>
          <w:sz w:val="22"/>
          <w:szCs w:val="22"/>
        </w:rPr>
        <w:t xml:space="preserve">Input: (B, 1, 128, 300) micro-Doppler spectrogram treated as a single-channel image. Architecture: four convolutional blocks (32 → 64 → 128 → 64 channels) with batch normalisation, ReLU activation, and max-pooling. Adaptive average pooling to (4 × 4) before the fully connected head. Output: 64-dimensional gait embedding + activity logits.</w:t>
      </w:r>
    </w:p>
    <w:p>
      <w:pPr>
        <w:spacing w:after="120"/>
      </w:pPr>
      <w:r>
        <w:rPr>
          <w:rFonts w:ascii="Arial" w:cs="Arial" w:eastAsia="Arial" w:hAnsi="Arial"/>
          <w:sz w:val="22"/>
          <w:szCs w:val="22"/>
        </w:rPr>
        <w:t xml:space="preserve">The embedding encodes gait quality in a compact, fusable form. Architecture is intentionally shallow given dataset size constraints expected in Phase 1–3 (20–50 participants) — a full ResNet18 backbone would overfit without extensive augmentation on this population size.</w:t>
      </w:r>
    </w:p>
    <w:p>
      <w:pPr>
        <w:pStyle w:val="Heading2"/>
      </w:pPr>
      <w:r>
        <w:rPr>
          <w:rFonts w:ascii="Arial" w:cs="Arial" w:eastAsia="Arial" w:hAnsi="Arial"/>
        </w:rPr>
        <w:t xml:space="preserve">4.2 Stream B — Modified ResNet18 CSI Classifier</w:t>
      </w:r>
    </w:p>
    <w:p>
      <w:pPr>
        <w:spacing w:after="120"/>
      </w:pPr>
      <w:r>
        <w:rPr>
          <w:rFonts w:ascii="Arial" w:cs="Arial" w:eastAsia="Arial" w:hAnsi="Arial"/>
          <w:sz w:val="22"/>
          <w:szCs w:val="22"/>
        </w:rPr>
        <w:t xml:space="preserve">Adopts the Chen et al. architecture exactly: first convolutional layer modified to accept single-channel (300 × 52) input, pretrained ImageNet weights averaged across the three RGB channels for single-channel initialisation, classification head adapted for the stroke-specific label set:</w:t>
      </w:r>
    </w:p>
    <w:p>
      <w:pPr>
        <w:pStyle w:val="ListParagraph"/>
        <w:numPr>
          <w:ilvl w:val="0"/>
          <w:numId w:val="2"/>
        </w:numPr>
        <w:spacing w:after="60"/>
      </w:pPr>
      <w:r>
        <w:rPr>
          <w:rFonts w:ascii="Arial" w:cs="Arial" w:eastAsia="Arial" w:hAnsi="Arial"/>
          <w:sz w:val="22"/>
          <w:szCs w:val="22"/>
        </w:rPr>
        <w:t xml:space="preserve">Class 0: Stationary / seated</w:t>
      </w:r>
    </w:p>
    <w:p>
      <w:pPr>
        <w:pStyle w:val="ListParagraph"/>
        <w:numPr>
          <w:ilvl w:val="0"/>
          <w:numId w:val="2"/>
        </w:numPr>
        <w:spacing w:after="60"/>
      </w:pPr>
      <w:r>
        <w:rPr>
          <w:rFonts w:ascii="Arial" w:cs="Arial" w:eastAsia="Arial" w:hAnsi="Arial"/>
          <w:sz w:val="22"/>
          <w:szCs w:val="22"/>
        </w:rPr>
        <w:t xml:space="preserve">Class 1: Walking at preferred speed</w:t>
      </w:r>
    </w:p>
    <w:p>
      <w:pPr>
        <w:pStyle w:val="ListParagraph"/>
        <w:numPr>
          <w:ilvl w:val="0"/>
          <w:numId w:val="2"/>
        </w:numPr>
        <w:spacing w:after="60"/>
      </w:pPr>
      <w:r>
        <w:rPr>
          <w:rFonts w:ascii="Arial" w:cs="Arial" w:eastAsia="Arial" w:hAnsi="Arial"/>
          <w:sz w:val="22"/>
          <w:szCs w:val="22"/>
        </w:rPr>
        <w:t xml:space="preserve">Class 2: LiFE exercise (balance or strength)</w:t>
      </w:r>
    </w:p>
    <w:p>
      <w:pPr>
        <w:pStyle w:val="ListParagraph"/>
        <w:numPr>
          <w:ilvl w:val="0"/>
          <w:numId w:val="2"/>
        </w:numPr>
        <w:spacing w:after="60"/>
      </w:pPr>
      <w:r>
        <w:rPr>
          <w:rFonts w:ascii="Arial" w:cs="Arial" w:eastAsia="Arial" w:hAnsi="Arial"/>
          <w:sz w:val="22"/>
          <w:szCs w:val="22"/>
        </w:rPr>
        <w:t xml:space="preserve">Class 3: Sit-to-stand or stand-to-sit transition — HIGH RISK</w:t>
      </w:r>
    </w:p>
    <w:p>
      <w:pPr>
        <w:pStyle w:val="ListParagraph"/>
        <w:numPr>
          <w:ilvl w:val="0"/>
          <w:numId w:val="2"/>
        </w:numPr>
        <w:spacing w:after="60"/>
      </w:pPr>
      <w:r>
        <w:rPr>
          <w:rFonts w:ascii="Arial" w:cs="Arial" w:eastAsia="Arial" w:hAnsi="Arial"/>
          <w:sz w:val="22"/>
          <w:szCs w:val="22"/>
        </w:rPr>
        <w:t xml:space="preserve">Class 4: Fall event — EMERGENCY</w:t>
      </w:r>
    </w:p>
    <w:p>
      <w:pPr>
        <w:spacing w:after="80"/>
      </w:pPr>
      <w:r>
        <w:t xml:space="preserve"/>
      </w:r>
    </w:p>
    <w:p>
      <w:pPr>
        <w:spacing w:after="120"/>
      </w:pPr>
      <w:r>
        <w:rPr>
          <w:rFonts w:ascii="Arial" w:cs="Arial" w:eastAsia="Arial" w:hAnsi="Arial"/>
          <w:sz w:val="22"/>
          <w:szCs w:val="22"/>
        </w:rPr>
        <w:t xml:space="preserve">Three separate model instances run per active ESP32S3 node, each personalised to its room's multipath environment. Models share the same backbone weights but have separately fine-tuned classification heads.</w:t>
      </w:r>
    </w:p>
    <w:p>
      <w:pPr>
        <w:pStyle w:val="Heading2"/>
      </w:pPr>
      <w:r>
        <w:rPr>
          <w:rFonts w:ascii="Arial" w:cs="Arial" w:eastAsia="Arial" w:hAnsi="Arial"/>
        </w:rPr>
        <w:t xml:space="preserve">4.3 Multimodal Fusion Module</w:t>
      </w:r>
    </w:p>
    <w:p>
      <w:pPr>
        <w:spacing w:after="120"/>
      </w:pPr>
      <w:r>
        <w:rPr>
          <w:rFonts w:ascii="Arial" w:cs="Arial" w:eastAsia="Arial" w:hAnsi="Arial"/>
          <w:sz w:val="22"/>
          <w:szCs w:val="22"/>
        </w:rPr>
        <w:t xml:space="preserve">The FMCW gait embedding (64-d) serves as the query; room CSI embeddings (R × 64) from active ESP32 nodes serve as keys and values in a multi-head attention mechanism (4 heads). The attended CSI representation (64-d) is concatenated with the FMCW embedding, wearable features (16-d), and environmental context (8-d), totalling 152-d. A learned modality gating MLP (softmax over 4 modality weights) adaptively downweights modalities with poor data quality. Final projection to 128-d fused representation feeds all downstream classifiers. If a room node is unoccupied, its embedding is zeroed and the gating weight collapses to zero — the fusion is robust to partial sensor coverage.</w:t>
      </w:r>
    </w:p>
    <w:p>
      <w:pPr>
        <w:pStyle w:val="Heading2"/>
      </w:pPr>
      <w:r>
        <w:rPr>
          <w:rFonts w:ascii="Arial" w:cs="Arial" w:eastAsia="Arial" w:hAnsi="Arial"/>
        </w:rPr>
        <w:t xml:space="preserve">4.4 Cascade Classifier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Priority 1: Fall/near-fall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MLP head (128→64→1, sigmoid) on fused representation. 3-second windows, 0.5-second slide. Alert threshold p &gt; 0.85 (specificity target ≥0.90). Near-falls included in positive class. Target latency: &lt;500 ms from event to clinician alert.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Priority 2: Exercise adherence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Multi-class MLP on 10-second windows. Recognises LiFE exercise signatures: tandem walking, lateral stepping, heel raises, sit-to-stand repetitions, wall push-ups. Daily adherence score (0–24) replaces the self-report EARS instrument.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Priority 3: Gait quality monitor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 autoencoder trained on participant's first 2 weeks of FMCW gait features. Reconstruction error z-scored against calibration baseline. z &gt; 2.0 for ≥3 consecutive 30-second windows → elevated risk flag.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Priority 4: 7-day mobility predictor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on 12 daily summary features. Output: P(walking speed decline &gt;0.1 m/s in next 7 days). Trained on Phase 3 longitudinal data aligned with clinician assessments. SHAP decomposition for every prediction.</w:t>
            </w:r>
          </w:p>
        </w:tc>
      </w:tr>
    </w:tbl>
    <w:p>
      <w:pPr>
        <w:spacing w:after="80"/>
      </w:pPr>
      <w:r>
        <w:t xml:space="preserve"/>
      </w:r>
    </w:p>
    <w:p>
      <w:pPr>
        <w:pStyle w:val="Heading2"/>
      </w:pPr>
      <w:r>
        <w:rPr>
          <w:rFonts w:ascii="Arial" w:cs="Arial" w:eastAsia="Arial" w:hAnsi="Arial"/>
        </w:rPr>
        <w:t xml:space="preserve">4.5 Federated Learning</w:t>
      </w:r>
    </w:p>
    <w:p>
      <w:pPr>
        <w:spacing w:after="120"/>
      </w:pPr>
      <w:r>
        <w:rPr>
          <w:rFonts w:ascii="Arial" w:cs="Arial" w:eastAsia="Arial" w:hAnsi="Arial"/>
          <w:sz w:val="22"/>
          <w:szCs w:val="22"/>
        </w:rPr>
        <w:t xml:space="preserve">All models are trained using federated learning. Each home edge unit computes local gradients on its participant's data; FedAvg or FedProx aggregation is performed at the central server; updated global model weights are pushed back to edge units. No raw data or identifiable information leaves the home. Differential privacy noise may be added to gradients if regulatory requirements demand it.</w:t>
      </w:r>
    </w:p>
    <w:p>
      <w:pPr>
        <w:spacing w:after="80"/>
      </w:pPr>
      <w:r>
        <w:t xml:space="preserve"/>
      </w:r>
    </w:p>
    <w:p>
      <w:r>
        <w:br w:type="page"/>
      </w:r>
    </w:p>
    <w:p>
      <w:pPr>
        <w:pStyle w:val="Heading1"/>
      </w:pPr>
      <w:r>
        <w:rPr>
          <w:rFonts w:ascii="Arial" w:cs="Arial" w:eastAsia="Arial" w:hAnsi="Arial"/>
        </w:rPr>
        <w:t xml:space="preserve">Part 5: Blockchain Audit Layer</w:t>
      </w:r>
    </w:p>
    <w:p>
      <w:pPr>
        <w:spacing w:after="120"/>
      </w:pPr>
      <w:r>
        <w:rPr>
          <w:rFonts w:ascii="Arial" w:cs="Arial" w:eastAsia="Arial" w:hAnsi="Arial"/>
          <w:sz w:val="22"/>
          <w:szCs w:val="22"/>
        </w:rPr>
        <w:t xml:space="preserve">A permissioned Hyperledger Fabric node runs on the Dell T2 host. Only alert hashes and clinician response hashes are written to the ledger — not raw data or feature vectors. Specifically:</w:t>
      </w:r>
    </w:p>
    <w:p>
      <w:pPr>
        <w:pStyle w:val="ListParagraph"/>
        <w:numPr>
          <w:ilvl w:val="0"/>
          <w:numId w:val="2"/>
        </w:numPr>
        <w:spacing w:after="60"/>
      </w:pPr>
      <w:r>
        <w:rPr>
          <w:rFonts w:ascii="Arial" w:cs="Arial" w:eastAsia="Arial" w:hAnsi="Arial"/>
          <w:sz w:val="22"/>
          <w:szCs w:val="22"/>
        </w:rPr>
        <w:t xml:space="preserve">When the AI system generates a high-risk alert: SHA-256 hash of (timestamp, participant pseudonym, risk score, top SHAP features) is appended to the ledger.</w:t>
      </w:r>
    </w:p>
    <w:p>
      <w:pPr>
        <w:pStyle w:val="ListParagraph"/>
        <w:numPr>
          <w:ilvl w:val="0"/>
          <w:numId w:val="2"/>
        </w:numPr>
        <w:spacing w:after="60"/>
      </w:pPr>
      <w:r>
        <w:rPr>
          <w:rFonts w:ascii="Arial" w:cs="Arial" w:eastAsia="Arial" w:hAnsi="Arial"/>
          <w:sz w:val="22"/>
          <w:szCs w:val="22"/>
        </w:rPr>
        <w:t xml:space="preserve">When a clinician takes a response action: hash of (clinician ID, alert ID, action type, timestamp) is appended.</w:t>
      </w:r>
    </w:p>
    <w:p>
      <w:pPr>
        <w:spacing w:after="80"/>
      </w:pPr>
      <w:r>
        <w:t xml:space="preserve"/>
      </w:r>
    </w:p>
    <w:p>
      <w:pPr>
        <w:spacing w:after="120"/>
      </w:pPr>
      <w:r>
        <w:rPr>
          <w:rFonts w:ascii="Arial" w:cs="Arial" w:eastAsia="Arial" w:hAnsi="Arial"/>
          <w:sz w:val="22"/>
          <w:szCs w:val="22"/>
        </w:rPr>
        <w:t xml:space="preserve">This creates a tamper-evident record valuable for: regulatory accountability if an adverse event follows an unacted alert; research integrity verification; and participant data rights audit. Blockchain is explicitly not used for raw data storage (throughput and cost unfavourable), federated learning coordination (simpler cryptographic approaches suffice), or access control (standard healthcare IAM is more appropriate).</w:t>
      </w:r>
    </w:p>
    <w:p>
      <w:r>
        <w:br w:type="page"/>
      </w:r>
    </w:p>
    <w:p>
      <w:pPr>
        <w:pStyle w:val="Heading1"/>
      </w:pPr>
      <w:r>
        <w:rPr>
          <w:rFonts w:ascii="Arial" w:cs="Arial" w:eastAsia="Arial" w:hAnsi="Arial"/>
        </w:rPr>
        <w:t xml:space="preserve">Part 6: Updated Experimental Design</w:t>
      </w:r>
    </w:p>
    <w:p>
      <w:pPr>
        <w:pStyle w:val="Heading2"/>
      </w:pPr>
      <w:r>
        <w:rPr>
          <w:rFonts w:ascii="Arial" w:cs="Arial" w:eastAsia="Arial" w:hAnsi="Arial"/>
        </w:rPr>
        <w:t xml:space="preserve">6.1 Additions to Phase 1 (Lab Feasibility)</w:t>
      </w:r>
    </w:p>
    <w:p>
      <w:pPr>
        <w:spacing w:after="120"/>
      </w:pPr>
      <w:r>
        <w:rPr>
          <w:rFonts w:ascii="Arial" w:cs="Arial" w:eastAsia="Arial" w:hAnsi="Arial"/>
          <w:sz w:val="22"/>
          <w:szCs w:val="22"/>
        </w:rPr>
        <w:t xml:space="preserve">Phase 1 must now include an explicit ESP32S3 characterisation protocol run alongside the USRP FMCW protocol. For each activity (walking, sit-to-stand, tandem stance, simulated fall), both sensing modalities capture simultaneously, enabling a paired comparison of sensitivity to each activity type. The t-SNE analysis from Chen et al. is reproduced on the Phase 1 post-stroke data to confirm whether the vertical-motion sensitivity holds for this population — or to quantify how it differs. This comparison is independently publishable.</w:t>
      </w:r>
    </w:p>
    <w:p>
      <w:pPr>
        <w:pStyle w:val="Heading2"/>
      </w:pPr>
      <w:r>
        <w:rPr>
          <w:rFonts w:ascii="Arial" w:cs="Arial" w:eastAsia="Arial" w:hAnsi="Arial"/>
        </w:rPr>
        <w:t xml:space="preserve">6.2 Additions to Phase 2 (Simulated Home Environment)</w:t>
      </w:r>
    </w:p>
    <w:p>
      <w:pPr>
        <w:spacing w:after="120"/>
      </w:pPr>
      <w:r>
        <w:rPr>
          <w:rFonts w:ascii="Arial" w:cs="Arial" w:eastAsia="Arial" w:hAnsi="Arial"/>
          <w:sz w:val="22"/>
          <w:szCs w:val="22"/>
        </w:rPr>
        <w:t xml:space="preserve">Three ESP32S3 nodes are deployed in sub-spaces designated as bedroom, bathroom, and kitchen within the test space. The USRP covers the main living area. This tests multi-node coordination, the MQTT ingestion pipeline, and room-transition detection logic. The RF isolation between active USRP and passive ESP32 nodes is validated empirically by measuring CSI corruption rates across all channel/band configurations.</w:t>
      </w:r>
    </w:p>
    <w:p>
      <w:pPr>
        <w:pStyle w:val="Heading2"/>
      </w:pPr>
      <w:r>
        <w:rPr>
          <w:rFonts w:ascii="Arial" w:cs="Arial" w:eastAsia="Arial" w:hAnsi="Arial"/>
        </w:rPr>
        <w:t xml:space="preserve">6.3 Additions to Phase 3 (Home Monitoring)</w:t>
      </w:r>
    </w:p>
    <w:p>
      <w:pPr>
        <w:spacing w:after="120"/>
      </w:pPr>
      <w:r>
        <w:rPr>
          <w:rFonts w:ascii="Arial" w:cs="Arial" w:eastAsia="Arial" w:hAnsi="Arial"/>
          <w:sz w:val="22"/>
          <w:szCs w:val="22"/>
        </w:rPr>
        <w:t xml:space="preserve">Home installation: one USRP N210 (living room, wall-mounted antenna), two to three ESP32S3 nodes (bedroom nightstand, bathroom counter, kitchen), BLE wearable. Installation time target: under 90 minutes per home, no structural modifications. ESP32 nodes require only a power outlet and connection to the existing home WiFi. A 1-week dry-run installation precedes the formal 8-week monitoring period to confirm signal quality per node.</w:t>
      </w:r>
    </w:p>
    <w:p>
      <w:pPr>
        <w:spacing w:after="120"/>
      </w:pPr>
      <w:r>
        <w:rPr>
          <w:rFonts w:ascii="Arial" w:cs="Arial" w:eastAsia="Arial" w:hAnsi="Arial"/>
          <w:sz w:val="22"/>
          <w:szCs w:val="22"/>
        </w:rPr>
        <w:t xml:space="preserve">Separate per-room personalisation models are fine-tuned for each active ESP32S3 node in the first 2 weeks of monitoring — tripling the personalisation compute compared to the single-USRP system but enabling room-specific accuracy.</w:t>
      </w:r>
    </w:p>
    <w:p>
      <w:r>
        <w:br w:type="page"/>
      </w:r>
    </w:p>
    <w:p>
      <w:pPr>
        <w:pStyle w:val="Heading1"/>
      </w:pPr>
      <w:r>
        <w:rPr>
          <w:rFonts w:ascii="Arial" w:cs="Arial" w:eastAsia="Arial" w:hAnsi="Arial"/>
        </w:rPr>
        <w:t xml:space="preserve">Part 7: Revised Publication Strategy</w:t>
      </w:r>
    </w:p>
    <w:p>
      <w:pPr>
        <w:pStyle w:val="Heading2"/>
      </w:pPr>
      <w:r>
        <w:rPr>
          <w:rFonts w:ascii="Arial" w:cs="Arial" w:eastAsia="Arial" w:hAnsi="Arial"/>
        </w:rPr>
        <w:t xml:space="preserve">Paper 1 — FMCW Pipeline Feasibility</w:t>
      </w:r>
    </w:p>
    <w:p>
      <w:pPr>
        <w:spacing w:after="120"/>
      </w:pPr>
      <w:r>
        <w:rPr>
          <w:rFonts w:ascii="Arial" w:cs="Arial" w:eastAsia="Arial" w:hAnsi="Arial"/>
          <w:sz w:val="22"/>
          <w:szCs w:val="22"/>
        </w:rPr>
        <w:t xml:space="preserve">Title: FMCW Radar-Based Gait Feature Extraction for Post-Stroke Mobility Assessment: A Feasibility Study</w:t>
      </w:r>
    </w:p>
    <w:p>
      <w:pPr>
        <w:spacing w:after="120"/>
      </w:pPr>
      <w:r>
        <w:rPr>
          <w:rFonts w:ascii="Arial" w:cs="Arial" w:eastAsia="Arial" w:hAnsi="Arial"/>
          <w:sz w:val="22"/>
          <w:szCs w:val="22"/>
        </w:rPr>
        <w:t xml:space="preserve">Target: IEEE Transactions on Biomedical Engineering (Q1) or Journal of NeuroEngineering and Rehabilitation (Q1, open access). Technical validation paper establishing the GNU Radio signal processing pipeline and construct validity of RF-derived gait features against clinical reference standards. Publishable at month 6 independently.</w:t>
      </w:r>
    </w:p>
    <w:p>
      <w:pPr>
        <w:pStyle w:val="Heading2"/>
      </w:pPr>
      <w:r>
        <w:rPr>
          <w:rFonts w:ascii="Arial" w:cs="Arial" w:eastAsia="Arial" w:hAnsi="Arial"/>
        </w:rPr>
        <w:t xml:space="preserve">Paper 2 — Multimodal RF Sensing Comparison (NEW — Chen et al. integration)</w:t>
      </w:r>
    </w:p>
    <w:p>
      <w:pPr>
        <w:spacing w:after="120"/>
      </w:pPr>
      <w:r>
        <w:rPr>
          <w:rFonts w:ascii="Arial" w:cs="Arial" w:eastAsia="Arial" w:hAnsi="Arial"/>
          <w:sz w:val="22"/>
          <w:szCs w:val="22"/>
        </w:rPr>
        <w:t xml:space="preserve">Title: Multimodal RF Sensing for Post-Stroke Fall Prevention: Combining FMCW Radar and WiFi CSI for Whole-Home Gait Monitoring</w:t>
      </w:r>
    </w:p>
    <w:p>
      <w:pPr>
        <w:spacing w:after="120"/>
      </w:pPr>
      <w:r>
        <w:rPr>
          <w:rFonts w:ascii="Arial" w:cs="Arial" w:eastAsia="Arial" w:hAnsi="Arial"/>
          <w:sz w:val="22"/>
          <w:szCs w:val="22"/>
        </w:rPr>
        <w:t xml:space="preserve">Target: IEEE Journal of Biomedical and Health Informatics (Q1). Directly contrasts USRP FMCW and ESP32S3 CSI on Phase 1/2 dataset; reports per-activity sensitivity for each modality separately and in fusion. Validates (or refutes) whether the ResNet18 CSI approach generalises to an older post-stroke population — a meaningful contribution to the WiFi sensing field independent of the FAST clinical framing.</w:t>
      </w:r>
    </w:p>
    <w:p>
      <w:pPr>
        <w:pStyle w:val="Heading2"/>
      </w:pPr>
      <w:r>
        <w:rPr>
          <w:rFonts w:ascii="Arial" w:cs="Arial" w:eastAsia="Arial" w:hAnsi="Arial"/>
        </w:rPr>
        <w:t xml:space="preserve">Paper 3 — System Architecture and Privacy</w:t>
      </w:r>
    </w:p>
    <w:p>
      <w:pPr>
        <w:spacing w:after="120"/>
      </w:pPr>
      <w:r>
        <w:rPr>
          <w:rFonts w:ascii="Arial" w:cs="Arial" w:eastAsia="Arial" w:hAnsi="Arial"/>
          <w:sz w:val="22"/>
          <w:szCs w:val="22"/>
        </w:rPr>
        <w:t xml:space="preserve">Title: Privacy-Preserving Continuous Gait Monitoring for Fall Risk Assessment in Stroke Survivors: System Architecture and Activity Recognition</w:t>
      </w:r>
    </w:p>
    <w:p>
      <w:pPr>
        <w:spacing w:after="120"/>
      </w:pPr>
      <w:r>
        <w:rPr>
          <w:rFonts w:ascii="Arial" w:cs="Arial" w:eastAsia="Arial" w:hAnsi="Arial"/>
          <w:sz w:val="22"/>
          <w:szCs w:val="22"/>
        </w:rPr>
        <w:t xml:space="preserve">Target: IEEE Internet of Things Journal (Q1). Systems paper describing the full IoT+SDR+CSI+edge architecture, the privacy-by-design approach (edge-only raw data), and Phase 2 activity recognition results. Emphasises the federated learning framework and hard privacy enforcement boundary.</w:t>
      </w:r>
    </w:p>
    <w:p>
      <w:pPr>
        <w:pStyle w:val="Heading2"/>
      </w:pPr>
      <w:r>
        <w:rPr>
          <w:rFonts w:ascii="Arial" w:cs="Arial" w:eastAsia="Arial" w:hAnsi="Arial"/>
        </w:rPr>
        <w:t xml:space="preserve">Paper 4 — Clinical Proxy Validation</w:t>
      </w:r>
    </w:p>
    <w:p>
      <w:pPr>
        <w:spacing w:after="120"/>
      </w:pPr>
      <w:r>
        <w:rPr>
          <w:rFonts w:ascii="Arial" w:cs="Arial" w:eastAsia="Arial" w:hAnsi="Arial"/>
          <w:sz w:val="22"/>
          <w:szCs w:val="22"/>
        </w:rPr>
        <w:t xml:space="preserve">Title: Longitudinal RF Sensing as a Clinical Proxy for Gait Function in Post-Stroke Fall Prevention: A Prospective Cohort Study</w:t>
      </w:r>
    </w:p>
    <w:p>
      <w:pPr>
        <w:spacing w:after="120"/>
      </w:pPr>
      <w:r>
        <w:rPr>
          <w:rFonts w:ascii="Arial" w:cs="Arial" w:eastAsia="Arial" w:hAnsi="Arial"/>
          <w:sz w:val="22"/>
          <w:szCs w:val="22"/>
        </w:rPr>
        <w:t xml:space="preserve">Target: Stroke (AHA, Q1) or Archives of Physical Medicine and Rehabilitation (Q1). Clinical validation paper demonstrating correlation between RF-derived gait features and validated clinical outcomes in a post-stroke home monitoring study.</w:t>
      </w:r>
    </w:p>
    <w:p>
      <w:pPr>
        <w:pStyle w:val="Heading2"/>
      </w:pPr>
      <w:r>
        <w:rPr>
          <w:rFonts w:ascii="Arial" w:cs="Arial" w:eastAsia="Arial" w:hAnsi="Arial"/>
        </w:rPr>
        <w:t xml:space="preserve">Paper 5 — Pilot RCT Protocol</w:t>
      </w:r>
    </w:p>
    <w:p>
      <w:pPr>
        <w:spacing w:after="120"/>
      </w:pPr>
      <w:r>
        <w:rPr>
          <w:rFonts w:ascii="Arial" w:cs="Arial" w:eastAsia="Arial" w:hAnsi="Arial"/>
          <w:sz w:val="22"/>
          <w:szCs w:val="22"/>
        </w:rPr>
        <w:t xml:space="preserve">Title: Adaptive Intervention Delivery for Fall Prevention After Stroke: Protocol for a Pilot Randomised Trial of Sensor-Triggered Booster Sessions</w:t>
      </w:r>
    </w:p>
    <w:p>
      <w:pPr>
        <w:spacing w:after="120"/>
      </w:pPr>
      <w:r>
        <w:rPr>
          <w:rFonts w:ascii="Arial" w:cs="Arial" w:eastAsia="Arial" w:hAnsi="Arial"/>
          <w:sz w:val="22"/>
          <w:szCs w:val="22"/>
        </w:rPr>
        <w:t xml:space="preserve">Target: Trials (BioMed Central, Q2). Protocol paper for the Phase 5 pilot RCT. Publishable before trial completion; serves as pre-registration vehicle.</w:t>
      </w:r>
    </w:p>
    <w:p>
      <w:r>
        <w:br w:type="page"/>
      </w:r>
    </w:p>
    <w:p>
      <w:pPr>
        <w:pStyle w:val="Heading1"/>
      </w:pPr>
      <w:r>
        <w:rPr>
          <w:rFonts w:ascii="Arial" w:cs="Arial" w:eastAsia="Arial" w:hAnsi="Arial"/>
        </w:rPr>
        <w:t xml:space="preserve">Part 8: Critical Limitations Added by the Chen et al. Integration</w:t>
      </w:r>
    </w:p>
    <w:p>
      <w:pPr>
        <w:pStyle w:val="Heading2"/>
      </w:pPr>
      <w:r>
        <w:rPr>
          <w:rFonts w:ascii="Arial" w:cs="Arial" w:eastAsia="Arial" w:hAnsi="Arial"/>
        </w:rPr>
        <w:t xml:space="preserve">8.1 RF Interference Between Active and Passive Nodes</w:t>
      </w:r>
    </w:p>
    <w:p>
      <w:pPr>
        <w:spacing w:after="120"/>
      </w:pPr>
      <w:r>
        <w:rPr>
          <w:rFonts w:ascii="Arial" w:cs="Arial" w:eastAsia="Arial" w:hAnsi="Arial"/>
          <w:sz w:val="22"/>
          <w:szCs w:val="22"/>
        </w:rPr>
        <w:t xml:space="preserve">Multiple ESP32S3 nodes using the same 2.4 GHz channel as the home router — competing with the USRP N210 active FMCW transmission — create a congested RF environment. The USRP's FMCW waveform, if transmitting at 2.4 GHz, will corrupt CSI measurements on ESP32 nodes in the same room. Mitigation: operate the USRP on the 5.8 GHz ISM band (UBX-40 daughterboard supports this), entirely separating the active and passive sensing bands. This is the recommended approach and requires budgeting for the 5.8 GHz antenna configuration in Phase 2.</w:t>
      </w:r>
    </w:p>
    <w:p>
      <w:pPr>
        <w:pStyle w:val="Heading2"/>
      </w:pPr>
      <w:r>
        <w:rPr>
          <w:rFonts w:ascii="Arial" w:cs="Arial" w:eastAsia="Arial" w:hAnsi="Arial"/>
        </w:rPr>
        <w:t xml:space="preserve">8.2 Per-Room Data Heterogeneity</w:t>
      </w:r>
    </w:p>
    <w:p>
      <w:pPr>
        <w:spacing w:after="120"/>
      </w:pPr>
      <w:r>
        <w:rPr>
          <w:rFonts w:ascii="Arial" w:cs="Arial" w:eastAsia="Arial" w:hAnsi="Arial"/>
          <w:sz w:val="22"/>
          <w:szCs w:val="22"/>
        </w:rPr>
        <w:t xml:space="preserve">CSI signatures for the same activity differ between nodes because multipath environments differ across rooms. Models trained on bedroom data will not transfer directly to bathroom data. The personalised fine-tuning stage must be conducted separately per node per participant — tripling the fine-tuning data requirement and compute time. This is a solvable engineering challenge but must be explicitly budgeted in the experimental timeline.</w:t>
      </w:r>
    </w:p>
    <w:p>
      <w:pPr>
        <w:pStyle w:val="Heading2"/>
      </w:pPr>
      <w:r>
        <w:rPr>
          <w:rFonts w:ascii="Arial" w:cs="Arial" w:eastAsia="Arial" w:hAnsi="Arial"/>
        </w:rPr>
        <w:t xml:space="preserve">8.3 Escalated Privacy Risk</w:t>
      </w:r>
    </w:p>
    <w:p>
      <w:pPr>
        <w:spacing w:after="120"/>
      </w:pPr>
      <w:r>
        <w:rPr>
          <w:rFonts w:ascii="Arial" w:cs="Arial" w:eastAsia="Arial" w:hAnsi="Arial"/>
          <w:sz w:val="22"/>
          <w:szCs w:val="22"/>
        </w:rPr>
        <w:t xml:space="preserve">Three ESP32S3 nodes covering bedroom, bathroom, and kitchen together create a far more comprehensive monitoring capability than a single USRP in the living room. Even with amplitude-only data, nocturnal bedroom and bathroom monitoring creates data that participants may reasonably consider more intimate. The consent process must be updated to address each room's sensing coverage explicitly, with individual opt-out per node. Bathroom monitoring in particular requires careful ethical review and may need to be limited to the bathroom threshold rather than inside the room, depending on institutional ethics guidance.</w:t>
      </w:r>
    </w:p>
    <w:p>
      <w:pPr>
        <w:pStyle w:val="Heading2"/>
      </w:pPr>
      <w:r>
        <w:rPr>
          <w:rFonts w:ascii="Arial" w:cs="Arial" w:eastAsia="Arial" w:hAnsi="Arial"/>
        </w:rPr>
        <w:t xml:space="preserve">8.4 Population Validity Gap</w:t>
      </w:r>
    </w:p>
    <w:p>
      <w:pPr>
        <w:spacing w:after="120"/>
      </w:pPr>
      <w:r>
        <w:rPr>
          <w:rFonts w:ascii="Arial" w:cs="Arial" w:eastAsia="Arial" w:hAnsi="Arial"/>
          <w:sz w:val="22"/>
          <w:szCs w:val="22"/>
        </w:rPr>
        <w:t xml:space="preserve">The Chen et al. model was trained entirely on young healthy adults (mean age 23.6, mean BMI 23.4). The gait signatures, fall dynamics, and CSI change patterns for a 75-year-old stroke survivor with hemiplegia are likely substantially different. All three fine-tuning stages address this gap progressively, but the gap cannot be fully closed without collecting a substantial dataset from the target population — which is precisely what Phases 1–3 are designed to do. Publication claims must be explicitly bounded to the population from which validation data were collected.</w:t>
      </w:r>
    </w:p>
    <w:p>
      <w:pPr>
        <w:spacing w:after="80"/>
      </w:pPr>
      <w:r>
        <w:t xml:space="preserve"/>
      </w:r>
    </w:p>
    <w:p>
      <w:pPr>
        <w:spacing w:before="480"/>
      </w:pPr>
      <w:r>
        <w:rPr>
          <w:rFonts w:ascii="Arial" w:cs="Arial" w:eastAsia="Arial" w:hAnsi="Arial"/>
          <w:i/>
          <w:iCs/>
          <w:sz w:val="22"/>
          <w:szCs w:val="22"/>
        </w:rPr>
        <w:t xml:space="preserve">This addendum updates the RF-FAST Research Framework to integrate contributions from: Chen T, Li X, Li H, Zhu G. "Deep learning-based fall detection using commodity Wi-Fi." Journal of Information and Intelligence 2(2024):355-364. Grounded in: Clemson L et al. "Home based, tailored intervention to reduce rate of falls after stroke (FAST): randomised trial." BMJ 2026;392:e085519.</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2026-04-26T15:22:25.661Z</dcterms:created>
  <dcterms:modified xsi:type="dcterms:W3CDTF">2026-04-26T15:22:25.662Z</dcterms:modified>
</cp:coreProperties>
</file>

<file path=docProps/custom.xml><?xml version="1.0" encoding="utf-8"?>
<Properties xmlns="http://schemas.openxmlformats.org/officeDocument/2006/custom-properties" xmlns:vt="http://schemas.openxmlformats.org/officeDocument/2006/docPropsVTypes"/>
</file>