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1C8" w14:paraId="7FF03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BDDEDC" w14:textId="77777777" w:rsidR="007451C8" w:rsidRDefault="002C3945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60"/>
                <w:sz w:val="18"/>
                <w:szCs w:val="18"/>
              </w:rPr>
              <w:t>RESEARCH PROPOSAL BRIEF</w:t>
            </w:r>
          </w:p>
          <w:p w14:paraId="531B633B" w14:textId="77777777" w:rsidR="007451C8" w:rsidRDefault="002C3945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RF-FAST: Integrating RF Sensing and AI into the Falls After Stroke Intervention</w:t>
            </w:r>
          </w:p>
          <w:p w14:paraId="5CBAA8F2" w14:textId="77777777" w:rsidR="007451C8" w:rsidRDefault="002C3945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C8D8E8"/>
              </w:rPr>
              <w:t>Gaps, Enhancements, and Genuine Innovation</w:t>
            </w:r>
          </w:p>
        </w:tc>
      </w:tr>
    </w:tbl>
    <w:p w14:paraId="3D5212DA" w14:textId="77777777" w:rsidR="007451C8" w:rsidRDefault="007451C8">
      <w:pPr>
        <w:spacing w:after="120"/>
      </w:pPr>
    </w:p>
    <w:p w14:paraId="10AA06F2" w14:textId="77777777" w:rsidR="007451C8" w:rsidRDefault="002C3945">
      <w:pPr>
        <w:pBdr>
          <w:bottom w:val="single" w:sz="4" w:space="3" w:color="1C3557"/>
        </w:pBd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t>1.  Limitations of the FAST Study (Clemson et al., 2026)</w:t>
      </w:r>
    </w:p>
    <w:p w14:paraId="65D92BE8" w14:textId="77777777" w:rsidR="007451C8" w:rsidRDefault="002C3945">
      <w:pPr>
        <w:spacing w:after="110"/>
      </w:pPr>
      <w:r>
        <w:t xml:space="preserve">The FAST </w:t>
      </w:r>
      <w:proofErr w:type="spellStart"/>
      <w:r>
        <w:t>randomised</w:t>
      </w:r>
      <w:proofErr w:type="spellEnd"/>
      <w:r>
        <w:t xml:space="preserve"> trial represents the first effectiveness study to demonstrate a statistically significant reduction in the rate of falls in community-dwelling stroke survivors, reporting a 33% re</w:t>
      </w:r>
      <w:r>
        <w:t>duction in the annual fall rate (IRR 0.67, 95% CI 0.48–0.94; p=0.02).</w:t>
      </w:r>
      <w:r>
        <w:rPr>
          <w:sz w:val="16"/>
          <w:szCs w:val="16"/>
          <w:vertAlign w:val="superscript"/>
        </w:rPr>
        <w:t>1</w:t>
      </w:r>
      <w:r>
        <w:t xml:space="preserve"> This is a landmark finding. Nonetheless, the study design and measurement framework reveal four structural limitations that constrain both clinical scalability and mechanistic understan</w:t>
      </w:r>
      <w:r>
        <w:t>ding.</w:t>
      </w:r>
    </w:p>
    <w:p w14:paraId="577653BF" w14:textId="77777777" w:rsidR="007451C8" w:rsidRDefault="002C3945">
      <w:pPr>
        <w:spacing w:after="110"/>
      </w:pPr>
      <w:r>
        <w:rPr>
          <w:b/>
          <w:bCs/>
        </w:rPr>
        <w:t>Measurement resolution and recall bias.</w:t>
      </w:r>
      <w:r>
        <w:t xml:space="preserve"> Fall events were captured prospectively using monthly paper calendars — a method acknowledged across the falls literature to be susceptible to recall bias and systematic underreporting.</w:t>
      </w:r>
      <w:r>
        <w:rPr>
          <w:sz w:val="16"/>
          <w:szCs w:val="16"/>
          <w:vertAlign w:val="superscript"/>
        </w:rPr>
        <w:t>2</w:t>
      </w:r>
      <w:r>
        <w:t xml:space="preserve"> The approach renders ne</w:t>
      </w:r>
      <w:r>
        <w:t>ar-falls (postural perturbations without ground contact) entirely invisible, despite near-falls being among the strongest prospective predictors of subsequent fall events.</w:t>
      </w:r>
      <w:r>
        <w:rPr>
          <w:sz w:val="16"/>
          <w:szCs w:val="16"/>
          <w:vertAlign w:val="superscript"/>
        </w:rPr>
        <w:t>3</w:t>
      </w:r>
      <w:r>
        <w:t xml:space="preserve"> Clinically relevant changes in gait quality or balance between the three measuremen</w:t>
      </w:r>
      <w:r>
        <w:t>t time-points (baseline, 6 months, 12 months) remain undetectable.</w:t>
      </w:r>
    </w:p>
    <w:p w14:paraId="7177B8E0" w14:textId="77777777" w:rsidR="007451C8" w:rsidRDefault="002C3945">
      <w:pPr>
        <w:spacing w:after="110"/>
      </w:pPr>
      <w:r>
        <w:rPr>
          <w:b/>
          <w:bCs/>
        </w:rPr>
        <w:t>Exercise adherence measurement.</w:t>
      </w:r>
      <w:r>
        <w:t xml:space="preserve"> Adherence to the </w:t>
      </w:r>
      <w:proofErr w:type="spellStart"/>
      <w:r>
        <w:t>LiFE</w:t>
      </w:r>
      <w:proofErr w:type="spellEnd"/>
      <w:r>
        <w:t xml:space="preserve"> exercise </w:t>
      </w:r>
      <w:proofErr w:type="spellStart"/>
      <w:r>
        <w:t>programme</w:t>
      </w:r>
      <w:proofErr w:type="spellEnd"/>
      <w:r>
        <w:t xml:space="preserve"> was quantified solely via the Exercise Adherence Rating Scale (EARS), a self-reported instrument. EARS scores declin</w:t>
      </w:r>
      <w:r>
        <w:t>ed from 16/24 at month 6 to 14/24 at month 12,</w:t>
      </w:r>
      <w:r>
        <w:rPr>
          <w:sz w:val="16"/>
          <w:szCs w:val="16"/>
          <w:vertAlign w:val="superscript"/>
        </w:rPr>
        <w:t>1</w:t>
      </w:r>
      <w:r>
        <w:t xml:space="preserve"> suggesting progressive habit erosion, but the instrument cannot distinguish between genuine exercise performance and socially desirable reporting.</w:t>
      </w:r>
    </w:p>
    <w:p w14:paraId="18FC5832" w14:textId="77777777" w:rsidR="007451C8" w:rsidRDefault="002C3945">
      <w:pPr>
        <w:spacing w:after="110"/>
      </w:pPr>
      <w:proofErr w:type="spellStart"/>
      <w:r>
        <w:rPr>
          <w:b/>
          <w:bCs/>
        </w:rPr>
        <w:t>Personalisation</w:t>
      </w:r>
      <w:proofErr w:type="spellEnd"/>
      <w:r>
        <w:rPr>
          <w:b/>
          <w:bCs/>
        </w:rPr>
        <w:t xml:space="preserve"> ceiling.</w:t>
      </w:r>
      <w:r>
        <w:t xml:space="preserve"> Disability stratification relied on </w:t>
      </w:r>
      <w:r>
        <w:t>walking speed alone (three strata: &lt;0.4, 0.4–0.8, &gt;0.8 m/s). Walking speed is a validated proxy for community ambulation capacity,</w:t>
      </w:r>
      <w:r>
        <w:rPr>
          <w:sz w:val="16"/>
          <w:szCs w:val="16"/>
          <w:vertAlign w:val="superscript"/>
        </w:rPr>
        <w:t>4</w:t>
      </w:r>
      <w:r>
        <w:t xml:space="preserve"> but it does not differentiate between clinically distinct presentations — cerebellar ataxia, lower-limb spasticity, or hemip</w:t>
      </w:r>
      <w:r>
        <w:t>aretic scissor gait — that carry different fall risk profiles and require different exercise emphases.</w:t>
      </w:r>
    </w:p>
    <w:p w14:paraId="23D04285" w14:textId="77777777" w:rsidR="007451C8" w:rsidRDefault="002C3945">
      <w:pPr>
        <w:spacing w:after="110"/>
      </w:pPr>
      <w:r>
        <w:rPr>
          <w:b/>
          <w:bCs/>
        </w:rPr>
        <w:t>Scalability and reach.</w:t>
      </w:r>
      <w:r>
        <w:t xml:space="preserve"> The trial required 33 trained therapists (16 physiotherapists, 17 occupational therapists) to deliver 186 experimental interventio</w:t>
      </w:r>
      <w:r>
        <w:t>ns across three Australian states.</w:t>
      </w:r>
      <w:r>
        <w:rPr>
          <w:sz w:val="16"/>
          <w:szCs w:val="16"/>
          <w:vertAlign w:val="superscript"/>
        </w:rPr>
        <w:t>1</w:t>
      </w:r>
      <w:r>
        <w:t xml:space="preserve"> This therapist-to-participant ratio, while appropriate for a phase 3 trial, is not replicable at population scale. Community-dwelling stroke survivors in rural and remote settings, where allied health access is already l</w:t>
      </w:r>
      <w:r>
        <w:t>imited, are structurally excluded from this model.</w:t>
      </w:r>
    </w:p>
    <w:p w14:paraId="07949F51" w14:textId="77777777" w:rsidR="007451C8" w:rsidRDefault="007451C8">
      <w:pPr>
        <w:spacing w:after="60"/>
      </w:pPr>
    </w:p>
    <w:p w14:paraId="6BB0A656" w14:textId="77777777" w:rsidR="007451C8" w:rsidRDefault="002C3945">
      <w:pPr>
        <w:pBdr>
          <w:bottom w:val="single" w:sz="4" w:space="3" w:color="1C3557"/>
        </w:pBd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t>2.  Contribution of Chen et al. (2024) and Its Limitations</w:t>
      </w:r>
    </w:p>
    <w:p w14:paraId="72EA2F1E" w14:textId="77777777" w:rsidR="007451C8" w:rsidRDefault="002C3945">
      <w:pPr>
        <w:spacing w:after="110"/>
      </w:pPr>
      <w:r>
        <w:rPr>
          <w:b/>
          <w:bCs/>
        </w:rPr>
        <w:t>Relevant contributions.</w:t>
      </w:r>
      <w:r>
        <w:t xml:space="preserve"> Chen et al. demonstrate that a commodity ESP32S3 microcontroller receiving </w:t>
      </w:r>
      <w:proofErr w:type="spellStart"/>
      <w:r>
        <w:t>WiFi</w:t>
      </w:r>
      <w:proofErr w:type="spellEnd"/>
      <w:r>
        <w:t xml:space="preserve"> channel state information (CSI) from a standard home router can support binary fall/non-fall classification with 93.97% accuracy using a modified pretrained ResNet18 network.</w:t>
      </w:r>
      <w:r>
        <w:rPr>
          <w:sz w:val="16"/>
          <w:szCs w:val="16"/>
          <w:vertAlign w:val="superscript"/>
        </w:rPr>
        <w:t>5</w:t>
      </w:r>
      <w:r>
        <w:t xml:space="preserve"> Three findings are directly applicable to the FAST context. First, the hardware configuration costs under $15 AUD per node and requires no modification to existing </w:t>
      </w:r>
      <w:proofErr w:type="spellStart"/>
      <w:r>
        <w:t>WiFi</w:t>
      </w:r>
      <w:proofErr w:type="spellEnd"/>
      <w:r>
        <w:t xml:space="preserve"> infrastructure — a deployment-viable price point. Second, treating the (300 × 52) time</w:t>
      </w:r>
      <w:r>
        <w:t xml:space="preserve">-by-subcarrier CSI amplitude matrix as a single-channel image for CNN classification is computationally efficient and reproducible. Third, t-distributed stochastic </w:t>
      </w:r>
      <w:proofErr w:type="spellStart"/>
      <w:r>
        <w:t>neighbour</w:t>
      </w:r>
      <w:proofErr w:type="spellEnd"/>
      <w:r>
        <w:t xml:space="preserve"> embedding (t-SNE) </w:t>
      </w:r>
      <w:proofErr w:type="spellStart"/>
      <w:r>
        <w:t>visualisation</w:t>
      </w:r>
      <w:proofErr w:type="spellEnd"/>
      <w:r>
        <w:t xml:space="preserve"> reveals that CSI at 2.4 GHz is most sensitive to v</w:t>
      </w:r>
      <w:r>
        <w:t>ertical body displacement: sit-to-stand and stand-to-sit actions cluster near fall events in feature space, while horizontal-motion activities (walking, jumping) cluster separately.</w:t>
      </w:r>
      <w:r>
        <w:rPr>
          <w:sz w:val="16"/>
          <w:szCs w:val="16"/>
          <w:vertAlign w:val="superscript"/>
        </w:rPr>
        <w:t>5</w:t>
      </w:r>
      <w:r>
        <w:t xml:space="preserve"> Vertical transitions are precisely the highest-risk movement class in amb</w:t>
      </w:r>
      <w:r>
        <w:t>ulatory post-stroke survivors.</w:t>
      </w:r>
    </w:p>
    <w:p w14:paraId="1D1E9819" w14:textId="77777777" w:rsidR="007451C8" w:rsidRDefault="002C3945">
      <w:pPr>
        <w:spacing w:after="110"/>
      </w:pPr>
      <w:r>
        <w:rPr>
          <w:b/>
          <w:bCs/>
        </w:rPr>
        <w:t>Critical limitations requiring correction.</w:t>
      </w:r>
      <w:r>
        <w:t xml:space="preserve"> The study population — ten volunteers with a mean age of 23.6 years and mean BMI 23.4 kg/m²</w:t>
      </w:r>
      <w:r>
        <w:rPr>
          <w:sz w:val="16"/>
          <w:szCs w:val="16"/>
          <w:vertAlign w:val="superscript"/>
        </w:rPr>
        <w:t>5</w:t>
      </w:r>
      <w:r>
        <w:t xml:space="preserve"> — is not representative of the FAST cohort (mean age 75–76 years, 70% hemiplegic, mean co</w:t>
      </w:r>
      <w:r>
        <w:t xml:space="preserve">morbidity score 4.4–4.7 on the </w:t>
      </w:r>
      <w:proofErr w:type="spellStart"/>
      <w:r>
        <w:t>Groll</w:t>
      </w:r>
      <w:proofErr w:type="spellEnd"/>
      <w:r>
        <w:t xml:space="preserve"> scale).</w:t>
      </w:r>
      <w:r>
        <w:rPr>
          <w:sz w:val="16"/>
          <w:szCs w:val="16"/>
          <w:vertAlign w:val="superscript"/>
        </w:rPr>
        <w:t>1</w:t>
      </w:r>
      <w:r>
        <w:t xml:space="preserve"> Whether the CSI signatures of a healthy young adult executing a controlled forward fall in a conference room </w:t>
      </w:r>
      <w:proofErr w:type="spellStart"/>
      <w:r>
        <w:t>generalise</w:t>
      </w:r>
      <w:proofErr w:type="spellEnd"/>
      <w:r>
        <w:t xml:space="preserve"> to a stroke survivor with hemiplegia losing balance during a nocturnal toilet trip is an o</w:t>
      </w:r>
      <w:r>
        <w:t>pen empirical question, not an assumption that can be carried forward. Furthermore, the random 75/25 train–test split inflates performance estimates: temporally contiguous windows from the same session appear in both training and test sets, leaking within-</w:t>
      </w:r>
      <w:r>
        <w:t>session autocorrelation.</w:t>
      </w:r>
      <w:r>
        <w:rPr>
          <w:sz w:val="16"/>
          <w:szCs w:val="16"/>
          <w:vertAlign w:val="superscript"/>
        </w:rPr>
        <w:t>6</w:t>
      </w:r>
      <w:r>
        <w:t xml:space="preserve"> Leave-one-subject-out cross-validation would produce lower but more defensible figures. Finally, the system provides binary event detection in a single environment with no longitudinal dimension — the task most relevant to FAST is trajectory </w:t>
      </w:r>
      <w:proofErr w:type="spellStart"/>
      <w:r>
        <w:t>characterisat</w:t>
      </w:r>
      <w:r>
        <w:t>ion</w:t>
      </w:r>
      <w:proofErr w:type="spellEnd"/>
      <w:r>
        <w:t xml:space="preserve"> over weeks, not 3-second clip classification.</w:t>
      </w:r>
    </w:p>
    <w:p w14:paraId="39BDB6D9" w14:textId="77777777" w:rsidR="007451C8" w:rsidRDefault="007451C8">
      <w:pPr>
        <w:spacing w:after="60"/>
      </w:pPr>
    </w:p>
    <w:p w14:paraId="2FFC7217" w14:textId="77777777" w:rsidR="00617F68" w:rsidRDefault="00617F68">
      <w:pPr>
        <w:rPr>
          <w:rFonts w:ascii="Arial" w:eastAsia="Arial" w:hAnsi="Arial" w:cs="Arial"/>
          <w:b/>
          <w:bCs/>
          <w:color w:val="1C3557"/>
          <w:sz w:val="22"/>
          <w:szCs w:val="22"/>
        </w:rPr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br w:type="page"/>
      </w:r>
    </w:p>
    <w:p w14:paraId="3E1C6C69" w14:textId="6A49E5A9" w:rsidR="007451C8" w:rsidRDefault="002C3945">
      <w:pPr>
        <w:pBdr>
          <w:bottom w:val="single" w:sz="4" w:space="3" w:color="1C3557"/>
        </w:pBd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lastRenderedPageBreak/>
        <w:t>3.  RF-FAST: Addressing Both — Proposed System and Novel Contributions</w:t>
      </w:r>
    </w:p>
    <w:p w14:paraId="6377E038" w14:textId="77777777" w:rsidR="007451C8" w:rsidRDefault="002C3945">
      <w:pPr>
        <w:spacing w:after="110"/>
      </w:pPr>
      <w:r>
        <w:t>The RF-FAST testbed (Ettus USRP N210, GNU Radio, Dell Pro Max Tower T2, Ubuntu 24.04.4 LTS) is proposed as a research platform that ad</w:t>
      </w:r>
      <w:r>
        <w:t>dresses the FAST measurement limitations through active FMCW radar, extends the Chen et al. approach to a clinically representative population and whole-home deployment, and pursues innovations that neither study approaches.</w:t>
      </w:r>
    </w:p>
    <w:p w14:paraId="08E1A9A7" w14:textId="77777777" w:rsidR="007451C8" w:rsidRDefault="002C3945">
      <w:pPr>
        <w:spacing w:after="110"/>
      </w:pPr>
      <w:r>
        <w:rPr>
          <w:b/>
          <w:bCs/>
        </w:rPr>
        <w:t>Addressing FAST's measurement g</w:t>
      </w:r>
      <w:r>
        <w:rPr>
          <w:b/>
          <w:bCs/>
        </w:rPr>
        <w:t>aps.</w:t>
      </w:r>
      <w:r>
        <w:t xml:space="preserve"> Active FMCW radar operating at 5.8 GHz provides continuous, passive extraction of micro-Doppler gait features — cadence, stride symmetry, torso-to-limb energy ratio, and sway amplitude — at 10 frames per second without participant action. A </w:t>
      </w:r>
      <w:proofErr w:type="spellStart"/>
      <w:r>
        <w:t>personalis</w:t>
      </w:r>
      <w:r>
        <w:t>ed</w:t>
      </w:r>
      <w:proofErr w:type="spellEnd"/>
      <w:r>
        <w:t xml:space="preserve"> autoencoder trained on each participant's first two weeks of monitoring establishes an individual baseline against which deviations can be detected prospectively, enabling risk escalation alerts before a fall occurs rather than after. This directly addr</w:t>
      </w:r>
      <w:r>
        <w:t>esses FAST's three sparse measurement time-points and its inability to capture near-falls or progressive gait decline.</w:t>
      </w:r>
    </w:p>
    <w:p w14:paraId="54360EF5" w14:textId="77777777" w:rsidR="007451C8" w:rsidRDefault="002C3945">
      <w:pPr>
        <w:spacing w:after="110"/>
      </w:pPr>
      <w:r>
        <w:rPr>
          <w:b/>
          <w:bCs/>
        </w:rPr>
        <w:t>Addressing the Chen et al. population and coverage limitations.</w:t>
      </w:r>
      <w:r>
        <w:t xml:space="preserve"> Three ESP32S3 CSI nodes deployed in the bedroom, bathroom, and kitchen — </w:t>
      </w:r>
      <w:r>
        <w:t>rooms the USRP cannot reliably cover — extend passive sensing to whole-home coverage. The ResNet18 architecture is adopted but fine-tuned through a three-stage protocol: domain pre-adaptation using available CSI datasets; population fine-tuning on data fro</w:t>
      </w:r>
      <w:r>
        <w:t xml:space="preserve">m adults aged 50–80 with post-stroke movement patterns; and participant-level </w:t>
      </w:r>
      <w:proofErr w:type="spellStart"/>
      <w:r>
        <w:t>personalisation</w:t>
      </w:r>
      <w:proofErr w:type="spellEnd"/>
      <w:r>
        <w:t xml:space="preserve"> during the first two weeks of monitoring. This staged approach is designed to close the population validity gap that Chen et al. leave open. Critically, leave-one</w:t>
      </w:r>
      <w:r>
        <w:t>-subject-out cross-validation replaces the random split, producing performance estimates that are defensible under academic scrutiny.</w:t>
      </w:r>
    </w:p>
    <w:p w14:paraId="38E8BC0C" w14:textId="77777777" w:rsidR="007451C8" w:rsidRDefault="002C3945">
      <w:pPr>
        <w:spacing w:after="110"/>
      </w:pPr>
      <w:r>
        <w:rPr>
          <w:b/>
          <w:bCs/>
        </w:rPr>
        <w:t>Genuine innovations beyond both studies.</w:t>
      </w:r>
      <w:r>
        <w:t xml:space="preserve"> Four contributions are proposed that neither study approaches. First, longitudina</w:t>
      </w:r>
      <w:r>
        <w:t xml:space="preserve">l </w:t>
      </w:r>
      <w:proofErr w:type="spellStart"/>
      <w:r>
        <w:t>personalised</w:t>
      </w:r>
      <w:proofErr w:type="spellEnd"/>
      <w:r>
        <w:t xml:space="preserve"> gait monitoring over weeks and months in a community home environment — generating a dataset of ecological gait signatures in post-stroke survivors that does not currently exist at scale. Second, objective exercise adherence measurement via </w:t>
      </w:r>
      <w:r>
        <w:t xml:space="preserve">RF signature recognition of </w:t>
      </w:r>
      <w:proofErr w:type="spellStart"/>
      <w:r>
        <w:t>LiFE</w:t>
      </w:r>
      <w:proofErr w:type="spellEnd"/>
      <w:r>
        <w:t xml:space="preserve"> exercises, providing a continuous and observer-independent replacement for the EARS self-report instrument. Third, adaptive booster scheduling: if the sensor system detects sustained risk score elevation, a FAST booster ses</w:t>
      </w:r>
      <w:r>
        <w:t>sion is triggered algorithmically rather than on a fixed schedule, concentrating therapist time where it is most needed. Fourth, federated learning across participant edge devices preserves data privacy absolutely — raw RF signals never leave the home — wh</w:t>
      </w:r>
      <w:r>
        <w:t>ile enabling population-level model improvement.</w:t>
      </w:r>
    </w:p>
    <w:p w14:paraId="5382F98A" w14:textId="77777777" w:rsidR="007451C8" w:rsidRDefault="002C3945">
      <w:pPr>
        <w:spacing w:after="110"/>
      </w:pPr>
      <w:r>
        <w:rPr>
          <w:b/>
          <w:bCs/>
        </w:rPr>
        <w:t>Epistemic honesty.</w:t>
      </w:r>
      <w:r>
        <w:t xml:space="preserve"> The RF-FAST system is a research proposal. The performance figures cited from Chen et al. apply to a young healthy population in a single controlled environment and cannot be assumed to tr</w:t>
      </w:r>
      <w:r>
        <w:t xml:space="preserve">ansfer to the target clinical population without empirical validation. All claims about RF-FAST's capabilities are hypotheses to be tested across the proposed five-phase experimental </w:t>
      </w:r>
      <w:proofErr w:type="spellStart"/>
      <w:r>
        <w:t>programme</w:t>
      </w:r>
      <w:proofErr w:type="spellEnd"/>
      <w:r>
        <w:t>, not established findings. This document presents a research ca</w:t>
      </w:r>
      <w:r>
        <w:t>se, not proven outcomes.</w:t>
      </w:r>
    </w:p>
    <w:p w14:paraId="62AC1386" w14:textId="77777777" w:rsidR="007451C8" w:rsidRDefault="007451C8">
      <w:pPr>
        <w:spacing w:after="60"/>
      </w:pPr>
    </w:p>
    <w:p w14:paraId="7E75E733" w14:textId="77777777" w:rsidR="007451C8" w:rsidRDefault="002C3945">
      <w:r>
        <w:br w:type="page"/>
      </w:r>
    </w:p>
    <w:p w14:paraId="0C338279" w14:textId="77777777" w:rsidR="007451C8" w:rsidRDefault="002C3945">
      <w:pPr>
        <w:pBdr>
          <w:bottom w:val="single" w:sz="4" w:space="3" w:color="1C3557"/>
        </w:pBd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lastRenderedPageBreak/>
        <w:t>4.  Comparison Matrix</w:t>
      </w:r>
    </w:p>
    <w:p w14:paraId="2F2101A6" w14:textId="77777777" w:rsidR="007451C8" w:rsidRDefault="007451C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960"/>
      </w:tblGrid>
      <w:tr w:rsidR="007451C8" w14:paraId="693EAB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1C3557"/>
              <w:left w:val="single" w:sz="1" w:space="0" w:color="FFFFFF"/>
              <w:bottom w:val="single" w:sz="6" w:space="0" w:color="1C3557"/>
              <w:right w:val="single" w:sz="1" w:space="0" w:color="FFFFFF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FECB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2200" w:type="dxa"/>
            <w:tcBorders>
              <w:top w:val="single" w:sz="6" w:space="0" w:color="1C3557"/>
              <w:left w:val="single" w:sz="1" w:space="0" w:color="FFFFFF"/>
              <w:bottom w:val="single" w:sz="6" w:space="0" w:color="1C3557"/>
              <w:right w:val="single" w:sz="1" w:space="0" w:color="FFFFFF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8225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FAST (Clemson et al., 2026)</w:t>
            </w:r>
          </w:p>
        </w:tc>
        <w:tc>
          <w:tcPr>
            <w:tcW w:w="2200" w:type="dxa"/>
            <w:tcBorders>
              <w:top w:val="single" w:sz="6" w:space="0" w:color="1C3557"/>
              <w:left w:val="single" w:sz="1" w:space="0" w:color="FFFFFF"/>
              <w:bottom w:val="single" w:sz="6" w:space="0" w:color="1C3557"/>
              <w:right w:val="single" w:sz="1" w:space="0" w:color="FFFFFF"/>
            </w:tcBorders>
            <w:shd w:val="clear" w:color="auto" w:fill="455A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B76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Chen et al. (2024)</w:t>
            </w:r>
          </w:p>
        </w:tc>
        <w:tc>
          <w:tcPr>
            <w:tcW w:w="2960" w:type="dxa"/>
            <w:tcBorders>
              <w:top w:val="single" w:sz="6" w:space="0" w:color="1C3557"/>
              <w:left w:val="single" w:sz="1" w:space="0" w:color="FFFFFF"/>
              <w:bottom w:val="single" w:sz="6" w:space="0" w:color="1C3557"/>
              <w:right w:val="single" w:sz="1" w:space="0" w:color="FFFFFF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C56D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RF-FAST (Proposed)</w:t>
            </w:r>
          </w:p>
        </w:tc>
      </w:tr>
      <w:tr w:rsidR="007451C8" w14:paraId="68DBE3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589DAB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Study design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568A8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Phase 3 RCT; n=370; 12-month follow-up; multisite (3 Australian states).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CF66F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Proof-of-concept; n=10 volunteers; single session; single environment.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076CE7B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 xml:space="preserve">Proposed multi-phase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programme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: lab feasibility → simulated home → real-home cohort (n=20) → pilot RCT (n=40).</w:t>
            </w:r>
          </w:p>
        </w:tc>
      </w:tr>
      <w:tr w:rsidR="007451C8" w14:paraId="10794D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A452E8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Target population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D7A40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Stroke survivors ≥50 years, community-dwelling; mean age 75–76; 70% hemiplegic; multiple comorbidities.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7DFA4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Healthy young adults; mean age 23.6 years; BMI 23.4; no neurological condition.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FEB49C1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As per FAST eligibility criteria. Population validity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gap addressed through staged fine-tuning on adults ≥50 with post-stroke movement patterns.</w:t>
            </w:r>
          </w:p>
        </w:tc>
      </w:tr>
      <w:tr w:rsidR="007451C8" w14:paraId="5AEBA2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96604E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Sensing modality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95D10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No objective sensing. Falls recorded by self-reported paper calendar; adherence by EARS (self-report).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408A8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 xml:space="preserve">Passive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WiFi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CSI (ESP32S3 receiver, commodity router transmitter). 2.4 GHz; 52 subcarriers; amplitude only.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67CC056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Active FMCW radar (USRP N210, 5.8 GHz) in mai</w:t>
            </w:r>
            <w:r>
              <w:rPr>
                <w:rFonts w:ascii="Arial" w:eastAsia="Arial" w:hAnsi="Arial" w:cs="Arial"/>
                <w:sz w:val="17"/>
                <w:szCs w:val="17"/>
              </w:rPr>
              <w:t>n room + passive CSI (ESP32S3 ×3) in bedroom, bathroom, kitchen + wrist IMU + environmental IoT.</w:t>
            </w:r>
          </w:p>
        </w:tc>
      </w:tr>
      <w:tr w:rsidR="007451C8" w14:paraId="6CA06C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D8DEDD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Home coverage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900A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Not applicable (no sensing).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49B9D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Single room; single Tx-Rx pair at 1.25 m separation.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8F2908E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Whole-home: FMCW for main living area; CSI nodes for bedroom, bathroom, kitchen. RF band isolation by design (5.8 GHz vs 2.4 GHz).</w:t>
            </w:r>
          </w:p>
        </w:tc>
      </w:tr>
      <w:tr w:rsidR="007451C8" w14:paraId="7536C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1601D73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Fall detection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6B64B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Monthly retrospective paper calendar. No near-fall capture. Binary (fell / did not fall).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3C33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Binary classification on 3-second clips; 93.97% accuracy (caution: inflated by random 75/25 split on single-environment data).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0BE7262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FMCW + CSI fusion; binary cascade class</w:t>
            </w:r>
            <w:r>
              <w:rPr>
                <w:rFonts w:ascii="Arial" w:eastAsia="Arial" w:hAnsi="Arial" w:cs="Arial"/>
                <w:sz w:val="17"/>
                <w:szCs w:val="17"/>
              </w:rPr>
              <w:t>ifier; 3-second windows; near-falls included in positive class; evaluated by LOSO cross-validation.</w:t>
            </w:r>
          </w:p>
        </w:tc>
      </w:tr>
      <w:tr w:rsidR="007451C8" w14:paraId="7B59C0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2A182A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Longitudinal monitoring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DD59A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Three time-points only (baseline, 6 months, 12 months). No between-visit monitoring.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866AF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 xml:space="preserve">None. Binary event detection per clip; no trajectory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characterisation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1F83D71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 xml:space="preserve">Continuous monitoring over 8-week home study.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Personalised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autoencoder baseline (week 1) enables pro</w:t>
            </w:r>
            <w:r>
              <w:rPr>
                <w:rFonts w:ascii="Arial" w:eastAsia="Arial" w:hAnsi="Arial" w:cs="Arial"/>
                <w:sz w:val="17"/>
                <w:szCs w:val="17"/>
              </w:rPr>
              <w:t>spective gait decline detection.</w:t>
            </w:r>
          </w:p>
        </w:tc>
      </w:tr>
      <w:tr w:rsidR="007451C8" w14:paraId="74FD68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499E14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Adherence measurement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24865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EARS self-report (0–24 scale). Score declined from 16/24 at month 6 to 14/24 at month 12.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03072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Not addressed.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4AF5284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 xml:space="preserve">Objective RF-based exercise recognition: micro-Doppler and CSI signatures of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LiFE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exercises used to generate continuous, observer-independent adherence scores.</w:t>
            </w:r>
          </w:p>
        </w:tc>
      </w:tr>
      <w:tr w:rsidR="007451C8" w14:paraId="4EA79B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96027F" w14:textId="77777777" w:rsidR="007451C8" w:rsidRDefault="002C3945">
            <w:proofErr w:type="spellStart"/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Personalisation</w:t>
            </w:r>
            <w:proofErr w:type="spellEnd"/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A9D79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Walking speed strata (3 bands). Within-stratum heterogeneity of fall risk not captured.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814E7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Single population-level model. No per-participant adaptation.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736DC20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 xml:space="preserve">Three-tier: population model → older-adult fine-tuning → individual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personalisation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(per participant, per </w:t>
            </w:r>
            <w:r>
              <w:rPr>
                <w:rFonts w:ascii="Arial" w:eastAsia="Arial" w:hAnsi="Arial" w:cs="Arial"/>
                <w:sz w:val="17"/>
                <w:szCs w:val="17"/>
              </w:rPr>
              <w:t>room node) using first 2 weeks of monitoring data.</w:t>
            </w:r>
          </w:p>
        </w:tc>
      </w:tr>
      <w:tr w:rsidR="007451C8" w14:paraId="5F874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FCE2F7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Privacy architecture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BCDFD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No digital sensing; not applicable.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A157C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No privacy architecture specified. All raw CSI collected and processed centrally.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9572730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Edge-processing constraint: raw RF data never leaves the home. Feature vectors only transmitted. Federated learning for model training.</w:t>
            </w:r>
          </w:p>
        </w:tc>
      </w:tr>
      <w:tr w:rsidR="007451C8" w14:paraId="3E2CF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D800D7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Clinical integration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525E1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Intervention framework validated (IRR 0.67; 95% CI 0.48–0.94). Clinical decision-making by trained therapist dyad.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AE02F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No clinical integration. Sensing treated as an end in itself.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36754CC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Sensing directly embedded in FAST framework. Sensor-trigge</w:t>
            </w:r>
            <w:r>
              <w:rPr>
                <w:rFonts w:ascii="Arial" w:eastAsia="Arial" w:hAnsi="Arial" w:cs="Arial"/>
                <w:sz w:val="17"/>
                <w:szCs w:val="17"/>
              </w:rPr>
              <w:t>red adaptive booster scheduling proposed as primary clinical innovation.</w:t>
            </w:r>
          </w:p>
        </w:tc>
      </w:tr>
      <w:tr w:rsidR="007451C8" w14:paraId="6BA803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EB01B6B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Scalability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8CF29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33 therapists for 186 participants. Not replicable at population scale.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11F7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Minimal hardware cost per node (~$15 AUD). Population-level deployment not addressed.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04E01CE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 xml:space="preserve">Federated architecture supports population-scale deployment. Commodity hardware pathway (TI IWR6843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mmWave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 identified for production translation.</w:t>
            </w:r>
          </w:p>
        </w:tc>
      </w:tr>
      <w:tr w:rsidR="007451C8" w14:paraId="516C9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DD9"/>
              <w:left w:val="single" w:sz="1" w:space="0" w:color="1C3557"/>
              <w:bottom w:val="single" w:sz="1" w:space="0" w:color="BBCDD9"/>
              <w:right w:val="single" w:sz="1" w:space="0" w:color="BBCDD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A83E4D" w14:textId="77777777" w:rsidR="007451C8" w:rsidRDefault="002C3945">
            <w:r>
              <w:rPr>
                <w:rFonts w:ascii="Arial" w:eastAsia="Arial" w:hAnsi="Arial" w:cs="Arial"/>
                <w:b/>
                <w:bCs/>
                <w:color w:val="1C3557"/>
                <w:sz w:val="18"/>
                <w:szCs w:val="18"/>
              </w:rPr>
              <w:t>Validation standard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AD8BA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t>Blinded outcome measurement; intention-</w:t>
            </w: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to-treat analysis; pre-registered SAP; CONSORT 2025.</w:t>
            </w:r>
          </w:p>
        </w:tc>
        <w:tc>
          <w:tcPr>
            <w:tcW w:w="220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BBCDD9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3FB9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 xml:space="preserve">Random 75/25 split (not LOSO); single </w:t>
            </w: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environment; single session; n=10.</w:t>
            </w:r>
          </w:p>
        </w:tc>
        <w:tc>
          <w:tcPr>
            <w:tcW w:w="2960" w:type="dxa"/>
            <w:tcBorders>
              <w:top w:val="single" w:sz="1" w:space="0" w:color="BBCDD9"/>
              <w:left w:val="single" w:sz="1" w:space="0" w:color="BBCDD9"/>
              <w:bottom w:val="single" w:sz="1" w:space="0" w:color="BBCDD9"/>
              <w:right w:val="single" w:sz="1" w:space="0" w:color="1C3557"/>
            </w:tcBorders>
            <w:shd w:val="clear" w:color="auto" w:fill="F7FAFD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FDE6244" w14:textId="77777777" w:rsidR="007451C8" w:rsidRDefault="002C3945"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 xml:space="preserve">Proposed: leave-one-subject-out cross-validation; disaggregated </w:t>
            </w: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reporti</w:t>
            </w:r>
            <w:r>
              <w:rPr>
                <w:rFonts w:ascii="Arial" w:eastAsia="Arial" w:hAnsi="Arial" w:cs="Arial"/>
                <w:sz w:val="17"/>
                <w:szCs w:val="17"/>
              </w:rPr>
              <w:t>ng by walking speed stratum, sex, and time since stroke; pre-registered protocols.</w:t>
            </w:r>
          </w:p>
        </w:tc>
      </w:tr>
    </w:tbl>
    <w:p w14:paraId="4EFCE529" w14:textId="77777777" w:rsidR="007451C8" w:rsidRDefault="007451C8">
      <w:pPr>
        <w:spacing w:after="100"/>
      </w:pPr>
    </w:p>
    <w:p w14:paraId="56F0344E" w14:textId="77777777" w:rsidR="007451C8" w:rsidRDefault="002C3945">
      <w:pPr>
        <w:pBdr>
          <w:bottom w:val="single" w:sz="4" w:space="3" w:color="1C3557"/>
        </w:pBd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t>References</w:t>
      </w:r>
    </w:p>
    <w:p w14:paraId="58136914" w14:textId="77777777" w:rsidR="007451C8" w:rsidRDefault="002C3945">
      <w:pPr>
        <w:spacing w:after="40"/>
        <w:ind w:left="200"/>
      </w:pPr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1.  Clemson L, Scrivener K, </w:t>
      </w:r>
      <w:proofErr w:type="spell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Lannin</w:t>
      </w:r>
      <w:proofErr w:type="spell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 N, et al. Home based, tailored intervention to reduce rate of falls after stroke (FAST): </w:t>
      </w:r>
      <w:proofErr w:type="spell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randomised</w:t>
      </w:r>
      <w:proofErr w:type="spell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 trial. BMJ. 2026;</w:t>
      </w:r>
      <w:proofErr w:type="gram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392:e</w:t>
      </w:r>
      <w:proofErr w:type="gram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085519. https://doi.org/10.1136/bmj-2025-085519</w:t>
      </w:r>
    </w:p>
    <w:p w14:paraId="7BB30ECF" w14:textId="77777777" w:rsidR="007451C8" w:rsidRDefault="002C3945">
      <w:pPr>
        <w:spacing w:after="40"/>
        <w:ind w:left="200"/>
      </w:pPr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2.  Ganz DA, Higashi T, Rubenstein LZ. Monitoring falls in cohort studies of community-dwelling older people: effect of the recall interval. J Am </w:t>
      </w:r>
      <w:proofErr w:type="spell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Geriatr</w:t>
      </w:r>
      <w:proofErr w:type="spell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 Soc. 2005;53(12):2190–2194.</w:t>
      </w:r>
    </w:p>
    <w:p w14:paraId="1F4C26A5" w14:textId="77777777" w:rsidR="007451C8" w:rsidRDefault="002C3945">
      <w:pPr>
        <w:spacing w:after="40"/>
        <w:ind w:left="200"/>
      </w:pPr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3.  Lamb SE, </w:t>
      </w:r>
      <w:proofErr w:type="spell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Jorstad</w:t>
      </w:r>
      <w:proofErr w:type="spell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-Stein EC, Hauer K, Becker C; Prevention of Falls Netw</w:t>
      </w:r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ork Europe and Outcomes Consensus Group. Development of a common outcome data set for fall injury prevention trials: the Prevention of Falls Network Europe consensus. J Am </w:t>
      </w:r>
      <w:proofErr w:type="spell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Geriatr</w:t>
      </w:r>
      <w:proofErr w:type="spell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 Soc. 2005;53(9):1618–1622.</w:t>
      </w:r>
    </w:p>
    <w:p w14:paraId="47733CC4" w14:textId="77777777" w:rsidR="007451C8" w:rsidRDefault="002C3945">
      <w:pPr>
        <w:spacing w:after="40"/>
        <w:ind w:left="200"/>
      </w:pPr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4.  Perry J, Garrett M, </w:t>
      </w:r>
      <w:proofErr w:type="spell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Gronley</w:t>
      </w:r>
      <w:proofErr w:type="spell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 JK, </w:t>
      </w:r>
      <w:proofErr w:type="spell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Mulroy</w:t>
      </w:r>
      <w:proofErr w:type="spell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 SJ. Cl</w:t>
      </w:r>
      <w:r>
        <w:rPr>
          <w:rFonts w:ascii="Arial" w:eastAsia="Arial" w:hAnsi="Arial" w:cs="Arial"/>
          <w:i/>
          <w:iCs/>
          <w:color w:val="607D8B"/>
          <w:sz w:val="16"/>
          <w:szCs w:val="16"/>
        </w:rPr>
        <w:t>assification of walking handicap in the stroke population. Stroke. 1995;26(6):982–989.</w:t>
      </w:r>
    </w:p>
    <w:p w14:paraId="2AEF0737" w14:textId="77777777" w:rsidR="007451C8" w:rsidRDefault="002C3945">
      <w:pPr>
        <w:spacing w:after="40"/>
        <w:ind w:left="200"/>
      </w:pPr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5.  Chen T, Li X, Li H, Zhu G. Deep learning-based fall detection using commodity Wi-Fi. Journal of Information and Intelligence. </w:t>
      </w:r>
      <w:proofErr w:type="gram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2024;2:355</w:t>
      </w:r>
      <w:proofErr w:type="gram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–364. https://doi.org/10.1016</w:t>
      </w:r>
      <w:r>
        <w:rPr>
          <w:rFonts w:ascii="Arial" w:eastAsia="Arial" w:hAnsi="Arial" w:cs="Arial"/>
          <w:i/>
          <w:iCs/>
          <w:color w:val="607D8B"/>
          <w:sz w:val="16"/>
          <w:szCs w:val="16"/>
        </w:rPr>
        <w:t>/j.jiixd.2024.04.001</w:t>
      </w:r>
    </w:p>
    <w:p w14:paraId="2EF4A4EB" w14:textId="77777777" w:rsidR="007451C8" w:rsidRDefault="002C3945">
      <w:pPr>
        <w:spacing w:after="40"/>
        <w:ind w:left="200"/>
      </w:pPr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6.  Tashiro A, Ryo M. Cross-validation for imbalanced datasets: avoiding overoptimistic and </w:t>
      </w:r>
      <w:proofErr w:type="spell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overpessimistic</w:t>
      </w:r>
      <w:proofErr w:type="spell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 xml:space="preserve"> estimates of classifier performance. IEEE Access. </w:t>
      </w:r>
      <w:proofErr w:type="gramStart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2021;9:91444</w:t>
      </w:r>
      <w:proofErr w:type="gramEnd"/>
      <w:r>
        <w:rPr>
          <w:rFonts w:ascii="Arial" w:eastAsia="Arial" w:hAnsi="Arial" w:cs="Arial"/>
          <w:i/>
          <w:iCs/>
          <w:color w:val="607D8B"/>
          <w:sz w:val="16"/>
          <w:szCs w:val="16"/>
        </w:rPr>
        <w:t>–91454.</w:t>
      </w:r>
    </w:p>
    <w:p w14:paraId="7A67A056" w14:textId="77777777" w:rsidR="007451C8" w:rsidRDefault="007451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1C8" w14:paraId="47973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C5F8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F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7F02B1" w14:textId="77777777" w:rsidR="007451C8" w:rsidRDefault="002C3945">
            <w:r>
              <w:rPr>
                <w:rFonts w:ascii="Arial" w:eastAsia="Arial" w:hAnsi="Arial" w:cs="Arial"/>
                <w:i/>
                <w:iCs/>
                <w:color w:val="455A64"/>
                <w:sz w:val="16"/>
                <w:szCs w:val="16"/>
              </w:rPr>
              <w:t>All claims regarding RF-FAST capabilities represent rese</w:t>
            </w:r>
            <w:r>
              <w:rPr>
                <w:rFonts w:ascii="Arial" w:eastAsia="Arial" w:hAnsi="Arial" w:cs="Arial"/>
                <w:i/>
                <w:iCs/>
                <w:color w:val="455A64"/>
                <w:sz w:val="16"/>
                <w:szCs w:val="16"/>
              </w:rPr>
              <w:t xml:space="preserve">arch hypotheses to be tested under the proposed experimental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55A64"/>
                <w:sz w:val="16"/>
                <w:szCs w:val="16"/>
              </w:rPr>
              <w:t>programme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55A64"/>
                <w:sz w:val="16"/>
                <w:szCs w:val="16"/>
              </w:rPr>
              <w:t>. Performance figures from Chen et al. (2024) are reported as published and carry the methodological caveats noted in Section 2. No extrapolation is made from those figures to the propos</w:t>
            </w:r>
            <w:r>
              <w:rPr>
                <w:rFonts w:ascii="Arial" w:eastAsia="Arial" w:hAnsi="Arial" w:cs="Arial"/>
                <w:i/>
                <w:iCs/>
                <w:color w:val="455A64"/>
                <w:sz w:val="16"/>
                <w:szCs w:val="16"/>
              </w:rPr>
              <w:t>ed clinical population. This brief is prepared for academic discussion purposes.</w:t>
            </w:r>
          </w:p>
        </w:tc>
      </w:tr>
    </w:tbl>
    <w:p w14:paraId="106A286D" w14:textId="77777777" w:rsidR="002C3945" w:rsidRDefault="002C3945"/>
    <w:sectPr w:rsidR="002C3945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24337"/>
    <w:multiLevelType w:val="hybridMultilevel"/>
    <w:tmpl w:val="CF661FBE"/>
    <w:lvl w:ilvl="0" w:tplc="345C1086">
      <w:start w:val="1"/>
      <w:numFmt w:val="bullet"/>
      <w:lvlText w:val="●"/>
      <w:lvlJc w:val="left"/>
      <w:pPr>
        <w:ind w:left="720" w:hanging="360"/>
      </w:pPr>
    </w:lvl>
    <w:lvl w:ilvl="1" w:tplc="2CFC068E">
      <w:start w:val="1"/>
      <w:numFmt w:val="bullet"/>
      <w:lvlText w:val="○"/>
      <w:lvlJc w:val="left"/>
      <w:pPr>
        <w:ind w:left="1440" w:hanging="360"/>
      </w:pPr>
    </w:lvl>
    <w:lvl w:ilvl="2" w:tplc="AEA2FF1A">
      <w:start w:val="1"/>
      <w:numFmt w:val="bullet"/>
      <w:lvlText w:val="■"/>
      <w:lvlJc w:val="left"/>
      <w:pPr>
        <w:ind w:left="2160" w:hanging="360"/>
      </w:pPr>
    </w:lvl>
    <w:lvl w:ilvl="3" w:tplc="242AB34E">
      <w:start w:val="1"/>
      <w:numFmt w:val="bullet"/>
      <w:lvlText w:val="●"/>
      <w:lvlJc w:val="left"/>
      <w:pPr>
        <w:ind w:left="2880" w:hanging="360"/>
      </w:pPr>
    </w:lvl>
    <w:lvl w:ilvl="4" w:tplc="5A409FF4">
      <w:start w:val="1"/>
      <w:numFmt w:val="bullet"/>
      <w:lvlText w:val="○"/>
      <w:lvlJc w:val="left"/>
      <w:pPr>
        <w:ind w:left="3600" w:hanging="360"/>
      </w:pPr>
    </w:lvl>
    <w:lvl w:ilvl="5" w:tplc="CA4EAE9E">
      <w:start w:val="1"/>
      <w:numFmt w:val="bullet"/>
      <w:lvlText w:val="■"/>
      <w:lvlJc w:val="left"/>
      <w:pPr>
        <w:ind w:left="4320" w:hanging="360"/>
      </w:pPr>
    </w:lvl>
    <w:lvl w:ilvl="6" w:tplc="6B1EDF7C">
      <w:start w:val="1"/>
      <w:numFmt w:val="bullet"/>
      <w:lvlText w:val="●"/>
      <w:lvlJc w:val="left"/>
      <w:pPr>
        <w:ind w:left="5040" w:hanging="360"/>
      </w:pPr>
    </w:lvl>
    <w:lvl w:ilvl="7" w:tplc="4656B4CA">
      <w:start w:val="1"/>
      <w:numFmt w:val="bullet"/>
      <w:lvlText w:val="●"/>
      <w:lvlJc w:val="left"/>
      <w:pPr>
        <w:ind w:left="5760" w:hanging="360"/>
      </w:pPr>
    </w:lvl>
    <w:lvl w:ilvl="8" w:tplc="194CBD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431A50"/>
    <w:multiLevelType w:val="hybridMultilevel"/>
    <w:tmpl w:val="28B890F6"/>
    <w:lvl w:ilvl="0" w:tplc="B11ACD1A">
      <w:start w:val="1"/>
      <w:numFmt w:val="bullet"/>
      <w:lvlText w:val="•"/>
      <w:lvlJc w:val="left"/>
      <w:pPr>
        <w:ind w:left="480" w:hanging="240"/>
      </w:pPr>
    </w:lvl>
    <w:lvl w:ilvl="1" w:tplc="E20C95F4">
      <w:numFmt w:val="decimal"/>
      <w:lvlText w:val=""/>
      <w:lvlJc w:val="left"/>
    </w:lvl>
    <w:lvl w:ilvl="2" w:tplc="182C9EAC">
      <w:numFmt w:val="decimal"/>
      <w:lvlText w:val=""/>
      <w:lvlJc w:val="left"/>
    </w:lvl>
    <w:lvl w:ilvl="3" w:tplc="A4EC8AAA">
      <w:numFmt w:val="decimal"/>
      <w:lvlText w:val=""/>
      <w:lvlJc w:val="left"/>
    </w:lvl>
    <w:lvl w:ilvl="4" w:tplc="1BC49CA6">
      <w:numFmt w:val="decimal"/>
      <w:lvlText w:val=""/>
      <w:lvlJc w:val="left"/>
    </w:lvl>
    <w:lvl w:ilvl="5" w:tplc="1CE62C0A">
      <w:numFmt w:val="decimal"/>
      <w:lvlText w:val=""/>
      <w:lvlJc w:val="left"/>
    </w:lvl>
    <w:lvl w:ilvl="6" w:tplc="02BC330A">
      <w:numFmt w:val="decimal"/>
      <w:lvlText w:val=""/>
      <w:lvlJc w:val="left"/>
    </w:lvl>
    <w:lvl w:ilvl="7" w:tplc="4EB0443A">
      <w:numFmt w:val="decimal"/>
      <w:lvlText w:val=""/>
      <w:lvlJc w:val="left"/>
    </w:lvl>
    <w:lvl w:ilvl="8" w:tplc="B5003E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1C8"/>
    <w:rsid w:val="002C3945"/>
    <w:rsid w:val="00617F68"/>
    <w:rsid w:val="0074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4D2C"/>
  <w15:docId w15:val="{F7793E4A-D72F-4106-8D15-B296189E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pBdr>
        <w:bottom w:val="single" w:sz="4" w:space="3" w:color="1C3557"/>
      </w:pBdr>
      <w:spacing w:before="200" w:after="80"/>
      <w:outlineLvl w:val="1"/>
    </w:pPr>
    <w:rPr>
      <w:rFonts w:ascii="Arial" w:eastAsia="Arial" w:hAnsi="Arial" w:cs="Arial"/>
      <w:b/>
      <w:bCs/>
      <w:color w:val="1C3557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2011</Words>
  <Characters>11465</Characters>
  <Application>Microsoft Office Word</Application>
  <DocSecurity>0</DocSecurity>
  <Lines>95</Lines>
  <Paragraphs>26</Paragraphs>
  <ScaleCrop>false</ScaleCrop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Okon</cp:lastModifiedBy>
  <cp:revision>2</cp:revision>
  <dcterms:created xsi:type="dcterms:W3CDTF">2026-04-28T11:32:00Z</dcterms:created>
  <dcterms:modified xsi:type="dcterms:W3CDTF">2026-07-17T01:56:00Z</dcterms:modified>
</cp:coreProperties>
</file>