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MATRIZ INTEGRAL DE RIESGOS (ASISTENCIALES Y OCUPACIONALES)</w:t>
      </w:r>
    </w:p>
    <w:p>
      <w:r>
        <w:t>El siguiente documento consolida los riesgos asistenciales (Seguridad del Paciente) y los riesgos ocupacionales (SG-SST basados en la GTC-45) específicos para el consultorio psicológico.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Clasificación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Peligro / Riesgo Identificado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Posibles Consecuencias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Nivel de Riesgo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Controles y Barreras Existentes (Prevención)</w:t>
            </w:r>
          </w:p>
        </w:tc>
      </w:tr>
      <w:tr>
        <w:tc>
          <w:tcPr>
            <w:tcW w:type="dxa" w:w="2448"/>
          </w:tcPr>
          <w:p>
            <w:r>
              <w:t>Asistencial / Clínico</w:t>
            </w:r>
          </w:p>
        </w:tc>
        <w:tc>
          <w:tcPr>
            <w:tcW w:type="dxa" w:w="2448"/>
          </w:tcPr>
          <w:p>
            <w:r>
              <w:t>Vulneración de confidencialidad o pérdida de historia clínica.</w:t>
            </w:r>
          </w:p>
        </w:tc>
        <w:tc>
          <w:tcPr>
            <w:tcW w:type="dxa" w:w="2448"/>
          </w:tcPr>
          <w:p>
            <w:r>
              <w:t>Sanciones éticas, afectación moral y psicológica del paciente.</w:t>
            </w:r>
          </w:p>
        </w:tc>
        <w:tc>
          <w:tcPr>
            <w:tcW w:type="dxa" w:w="2448"/>
          </w:tcPr>
          <w:p>
            <w:r>
              <w:t>Alto</w:t>
            </w:r>
          </w:p>
        </w:tc>
        <w:tc>
          <w:tcPr>
            <w:tcW w:type="dxa" w:w="2448"/>
          </w:tcPr>
          <w:p>
            <w:r>
              <w:t>Archivos físicos bajo llave, software con contraseñas seguras, cumplimiento estricto de la Ley 1090.</w:t>
            </w:r>
          </w:p>
        </w:tc>
      </w:tr>
      <w:tr>
        <w:tc>
          <w:tcPr>
            <w:tcW w:type="dxa" w:w="2448"/>
          </w:tcPr>
          <w:p>
            <w:r>
              <w:t>Asistencial / Clínico</w:t>
            </w:r>
          </w:p>
        </w:tc>
        <w:tc>
          <w:tcPr>
            <w:tcW w:type="dxa" w:w="2448"/>
          </w:tcPr>
          <w:p>
            <w:r>
              <w:t>Paciente en crisis con ideación autolítica inminente o agitación psicomotora.</w:t>
            </w:r>
          </w:p>
        </w:tc>
        <w:tc>
          <w:tcPr>
            <w:tcW w:type="dxa" w:w="2448"/>
          </w:tcPr>
          <w:p>
            <w:r>
              <w:t>Riesgo de muerte, daño físico severo a sí mismo o a terceros.</w:t>
            </w:r>
          </w:p>
        </w:tc>
        <w:tc>
          <w:tcPr>
            <w:tcW w:type="dxa" w:w="2448"/>
          </w:tcPr>
          <w:p>
            <w:r>
              <w:t>Alto</w:t>
            </w:r>
          </w:p>
        </w:tc>
        <w:tc>
          <w:tcPr>
            <w:tcW w:type="dxa" w:w="2448"/>
          </w:tcPr>
          <w:p>
            <w:r>
              <w:t>Protocolo activo de remisión a urgencias psiquiátricas, acompañamiento continuo, contención verbal.</w:t>
            </w:r>
          </w:p>
        </w:tc>
      </w:tr>
      <w:tr>
        <w:tc>
          <w:tcPr>
            <w:tcW w:type="dxa" w:w="2448"/>
          </w:tcPr>
          <w:p>
            <w:r>
              <w:t>Asistencial / Clínico</w:t>
            </w:r>
          </w:p>
        </w:tc>
        <w:tc>
          <w:tcPr>
            <w:tcW w:type="dxa" w:w="2448"/>
          </w:tcPr>
          <w:p>
            <w:r>
              <w:t>Inadecuada identificación del paciente en la historia clínica.</w:t>
            </w:r>
          </w:p>
        </w:tc>
        <w:tc>
          <w:tcPr>
            <w:tcW w:type="dxa" w:w="2448"/>
          </w:tcPr>
          <w:p>
            <w:r>
              <w:t>Errores de registro, entrega de información cruzada o diagnósticos erróneos.</w:t>
            </w:r>
          </w:p>
        </w:tc>
        <w:tc>
          <w:tcPr>
            <w:tcW w:type="dxa" w:w="2448"/>
          </w:tcPr>
          <w:p>
            <w:r>
              <w:t>Medio</w:t>
            </w:r>
          </w:p>
        </w:tc>
        <w:tc>
          <w:tcPr>
            <w:tcW w:type="dxa" w:w="2448"/>
          </w:tcPr>
          <w:p>
            <w:r>
              <w:t>Verificación obligatoria del documento de identidad original en la primera sesión.</w:t>
            </w:r>
          </w:p>
        </w:tc>
      </w:tr>
      <w:tr>
        <w:tc>
          <w:tcPr>
            <w:tcW w:type="dxa" w:w="2448"/>
          </w:tcPr>
          <w:p>
            <w:r>
              <w:t>Psicosocial (SG-SST)</w:t>
            </w:r>
          </w:p>
        </w:tc>
        <w:tc>
          <w:tcPr>
            <w:tcW w:type="dxa" w:w="2448"/>
          </w:tcPr>
          <w:p>
            <w:r>
              <w:t>Sobrecarga emocional y mental por atención continua de pacientes con traumas o crisis (Burnout / Fatiga por compasión).</w:t>
            </w:r>
          </w:p>
        </w:tc>
        <w:tc>
          <w:tcPr>
            <w:tcW w:type="dxa" w:w="2448"/>
          </w:tcPr>
          <w:p>
            <w:r>
              <w:t>Estrés crónico, despersonalización, alteraciones del sueño, disminución del rendimiento.</w:t>
            </w:r>
          </w:p>
        </w:tc>
        <w:tc>
          <w:tcPr>
            <w:tcW w:type="dxa" w:w="2448"/>
          </w:tcPr>
          <w:p>
            <w:r>
              <w:t>Alto</w:t>
            </w:r>
          </w:p>
        </w:tc>
        <w:tc>
          <w:tcPr>
            <w:tcW w:type="dxa" w:w="2448"/>
          </w:tcPr>
          <w:p>
            <w:r>
              <w:t>Tiempos de descanso garantizados entre sesiones, pausas activas cognitivas, supervisión clínica de casos.</w:t>
            </w:r>
          </w:p>
        </w:tc>
      </w:tr>
      <w:tr>
        <w:tc>
          <w:tcPr>
            <w:tcW w:type="dxa" w:w="2448"/>
          </w:tcPr>
          <w:p>
            <w:r>
              <w:t>Biomecánico (SG-SST)</w:t>
            </w:r>
          </w:p>
        </w:tc>
        <w:tc>
          <w:tcPr>
            <w:tcW w:type="dxa" w:w="2448"/>
          </w:tcPr>
          <w:p>
            <w:r>
              <w:t>Posturas estáticas prolongadas (sedestación) durante la jornada de consulta.</w:t>
            </w:r>
          </w:p>
        </w:tc>
        <w:tc>
          <w:tcPr>
            <w:tcW w:type="dxa" w:w="2448"/>
          </w:tcPr>
          <w:p>
            <w:r>
              <w:t>Dolor lumbar, tensión cervical, trastornos musculoesqueléticos.</w:t>
            </w:r>
          </w:p>
        </w:tc>
        <w:tc>
          <w:tcPr>
            <w:tcW w:type="dxa" w:w="2448"/>
          </w:tcPr>
          <w:p>
            <w:r>
              <w:t>Medio</w:t>
            </w:r>
          </w:p>
        </w:tc>
        <w:tc>
          <w:tcPr>
            <w:tcW w:type="dxa" w:w="2448"/>
          </w:tcPr>
          <w:p>
            <w:r>
              <w:t>Sillas con diseño ergonómico, pausas activas físicas cada 2 horas, estiramientos.</w:t>
            </w:r>
          </w:p>
        </w:tc>
      </w:tr>
      <w:tr>
        <w:tc>
          <w:tcPr>
            <w:tcW w:type="dxa" w:w="2448"/>
          </w:tcPr>
          <w:p>
            <w:r>
              <w:t>Biológico (SG-SST)</w:t>
            </w:r>
          </w:p>
        </w:tc>
        <w:tc>
          <w:tcPr>
            <w:tcW w:type="dxa" w:w="2448"/>
          </w:tcPr>
          <w:p>
            <w:r>
              <w:t>Exposición a virus respiratorios durante la atención en un espacio cerrado.</w:t>
            </w:r>
          </w:p>
        </w:tc>
        <w:tc>
          <w:tcPr>
            <w:tcW w:type="dxa" w:w="2448"/>
          </w:tcPr>
          <w:p>
            <w:r>
              <w:t>Contagios de infecciones respiratorias agudas, incapacidades médicas.</w:t>
            </w:r>
          </w:p>
        </w:tc>
        <w:tc>
          <w:tcPr>
            <w:tcW w:type="dxa" w:w="2448"/>
          </w:tcPr>
          <w:p>
            <w:r>
              <w:t>Bajo</w:t>
            </w:r>
          </w:p>
        </w:tc>
        <w:tc>
          <w:tcPr>
            <w:tcW w:type="dxa" w:w="2448"/>
          </w:tcPr>
          <w:p>
            <w:r>
              <w:t>Lavado de manos frecuente, ventilación adecuada del consultorio, uso opcional de tapabocas ante síntomas.</w:t>
            </w:r>
          </w:p>
        </w:tc>
      </w:tr>
      <w:tr>
        <w:tc>
          <w:tcPr>
            <w:tcW w:type="dxa" w:w="2448"/>
          </w:tcPr>
          <w:p>
            <w:r>
              <w:t>Seguridad / Locativo (SG-SST)</w:t>
            </w:r>
          </w:p>
        </w:tc>
        <w:tc>
          <w:tcPr>
            <w:tcW w:type="dxa" w:w="2448"/>
          </w:tcPr>
          <w:p>
            <w:r>
              <w:t>Pisos resbalosos, cableado expuesto o iluminación deficiente en el consultorio.</w:t>
            </w:r>
          </w:p>
        </w:tc>
        <w:tc>
          <w:tcPr>
            <w:tcW w:type="dxa" w:w="2448"/>
          </w:tcPr>
          <w:p>
            <w:r>
              <w:t>Caídas a nivel, golpes, tropiezos de pacientes o del profesional.</w:t>
            </w:r>
          </w:p>
        </w:tc>
        <w:tc>
          <w:tcPr>
            <w:tcW w:type="dxa" w:w="2448"/>
          </w:tcPr>
          <w:p>
            <w:r>
              <w:t>Bajo</w:t>
            </w:r>
          </w:p>
        </w:tc>
        <w:tc>
          <w:tcPr>
            <w:tcW w:type="dxa" w:w="2448"/>
          </w:tcPr>
          <w:p>
            <w:r>
              <w:t>Mantenimiento locativo periódico, canaletas para cables, rutinas de limpieza sin encharcamiento.</w:t>
            </w:r>
          </w:p>
        </w:tc>
      </w:tr>
    </w:tbl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pPr>
              <w:jc w:val="center"/>
            </w:pPr>
            <w:r>
              <w:t>___________________________________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t>___________________________________</w:t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t>Elaboró: ___________________________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t>Aprobó: ___________________________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4320"/>
      <w:gridCol w:w="4320"/>
      <w:gridCol w:w="4320"/>
    </w:tblGrid>
    <w:tr>
      <w:tc>
        <w:tcPr>
          <w:tcW w:type="dxa" w:w="2880"/>
        </w:tcPr>
        <w:p>
          <w:pPr>
            <w:jc w:val="center"/>
          </w:pPr>
          <w:r>
            <w:rPr>
              <w:b/>
            </w:rPr>
            <w:t>CONSULTORIO PSICOLÓGICO</w:t>
          </w:r>
        </w:p>
      </w:tc>
      <w:tc>
        <w:tcPr>
          <w:tcW w:type="dxa" w:w="7200"/>
        </w:tcPr>
        <w:p>
          <w:pPr>
            <w:jc w:val="center"/>
          </w:pPr>
          <w:r>
            <w:rPr>
              <w:b/>
            </w:rPr>
            <w:t>SISTEMA DE GESTIÓN DE CALIDAD Y SG-SST</w:t>
            <w:br/>
            <w:br/>
            <w:t>MATRIZ INTEGRAL DE RIESGOS</w:t>
          </w:r>
        </w:p>
      </w:tc>
      <w:tc>
        <w:tcPr>
          <w:tcW w:type="dxa" w:w="2880"/>
        </w:tcPr>
        <w:p>
          <w:pPr>
            <w:jc w:val="left"/>
          </w:pPr>
          <w:r>
            <w:t>Código: MAT-RGO-01</w:t>
            <w:br/>
            <w:t>Versión: 01</w:t>
            <w:br/>
            <w:t>Fecha: Agosto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