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PROGRAMA DE MEDICINA PREVENTIVA Y DEL TRABAJO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PRO-SST-MED-001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Promover y mantener la salud de los trabajadores, prevenir alteraciones relacionadas con el trabajo y realizar seguimiento a las condiciones de salud, respetando la confidencialidad de la información médica.</w:t>
      </w:r>
    </w:p>
    <w:p>
      <w:pPr>
        <w:pStyle w:val="Heading1"/>
      </w:pPr>
      <w:r>
        <w:t>2. Alcance</w:t>
      </w:r>
    </w:p>
    <w:p>
      <w:r>
        <w:t>Aplica a trabajadores y, cuando corresponda, a contratistas según su relación y exposición.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Representante Legal: asignar recursos y revisar resultados.</w:t>
      </w:r>
    </w:p>
    <w:p>
      <w:pPr>
        <w:pStyle w:val="ListBullet"/>
      </w:pPr>
      <w:r>
        <w:t>Responsable SG-SST: coordinar el programa y conservar registros administrativos.</w:t>
      </w:r>
    </w:p>
    <w:p>
      <w:pPr>
        <w:pStyle w:val="ListBullet"/>
      </w:pPr>
      <w:r>
        <w:t>Trabajadores: participar y reportar condiciones relacionadas con el trabajo.</w:t>
      </w:r>
    </w:p>
    <w:p>
      <w:pPr>
        <w:pStyle w:val="ListBullet"/>
      </w:pPr>
      <w:r>
        <w:t>Profesionales de salud ocupacional: realizar evaluaciones y emitir recomendaciones conforme a la normativa aplicable.</w:t>
      </w:r>
    </w:p>
    <w:p>
      <w:pPr>
        <w:pStyle w:val="Heading1"/>
      </w:pPr>
      <w:r>
        <w:t>4. Actividades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Actividad</w:t>
            </w:r>
          </w:p>
        </w:tc>
        <w:tc>
          <w:tcPr>
            <w:tcW w:type="dxa" w:w="2520"/>
            <w:shd w:fill="D9EAF7"/>
          </w:tcPr>
          <w:p>
            <w:r>
              <w:t>Frecuencia</w:t>
            </w:r>
          </w:p>
        </w:tc>
        <w:tc>
          <w:tcPr>
            <w:tcW w:type="dxa" w:w="2520"/>
            <w:shd w:fill="D9EAF7"/>
          </w:tcPr>
          <w:p>
            <w:r>
              <w:t>Responsable</w:t>
            </w:r>
          </w:p>
        </w:tc>
        <w:tc>
          <w:tcPr>
            <w:tcW w:type="dxa" w:w="2520"/>
            <w:shd w:fill="D9EAF7"/>
          </w:tcPr>
          <w:p>
            <w:r>
              <w:t>Evidencia</w:t>
            </w:r>
          </w:p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pStyle w:val="Heading1"/>
      </w:pPr>
      <w:r>
        <w:t>5. Líneas de intervención</w:t>
      </w:r>
    </w:p>
    <w:p>
      <w:pPr>
        <w:pStyle w:val="ListBullet"/>
      </w:pPr>
      <w:r>
        <w:t>Exámenes médicos ocupacionales según perfil y exposición.</w:t>
      </w:r>
    </w:p>
    <w:p>
      <w:pPr>
        <w:pStyle w:val="ListBullet"/>
      </w:pPr>
      <w:r>
        <w:t>Promoción de estilos de vida saludable.</w:t>
      </w:r>
    </w:p>
    <w:p>
      <w:pPr>
        <w:pStyle w:val="ListBullet"/>
      </w:pPr>
      <w:r>
        <w:t>Pausas activas y prevención musculoesquelética.</w:t>
      </w:r>
    </w:p>
    <w:p>
      <w:pPr>
        <w:pStyle w:val="ListBullet"/>
      </w:pPr>
      <w:r>
        <w:t>Seguimiento de ausentismo.</w:t>
      </w:r>
    </w:p>
    <w:p>
      <w:pPr>
        <w:pStyle w:val="ListBullet"/>
      </w:pPr>
      <w:r>
        <w:t>Seguimiento a recomendaciones médico-laborales.</w:t>
      </w:r>
    </w:p>
    <w:p>
      <w:pPr>
        <w:pStyle w:val="ListBullet"/>
      </w:pPr>
      <w:r>
        <w:t>Vigilancia de condiciones de salud y riesgos prioritarios.</w:t>
      </w:r>
    </w:p>
    <w:p>
      <w:pPr>
        <w:pStyle w:val="Heading1"/>
      </w:pPr>
      <w:r>
        <w:t>6. Indicadores</w:t>
      </w:r>
    </w:p>
    <w:p>
      <w:pPr>
        <w:pStyle w:val="ListBullet"/>
      </w:pPr>
      <w:r>
        <w:t>Cobertura = actividades ejecutadas / programadas × 100.</w:t>
      </w:r>
    </w:p>
    <w:p>
      <w:pPr>
        <w:pStyle w:val="ListBullet"/>
      </w:pPr>
      <w:r>
        <w:t>Recomendaciones implementadas = implementadas / recibidas × 100.</w:t>
      </w:r>
    </w:p>
    <w:p>
      <w:pPr>
        <w:pStyle w:val="ListBullet"/>
      </w:pPr>
      <w:r>
        <w:t>Ausentismo: análisis periódico de días de ausencia y causas.</w:t>
      </w:r>
    </w:p>
    <w:p>
      <w:r>
        <w:t>Los diagnósticos e historias clínicas ocupacionales deben permanecer bajo custodia de quien legalmente corresponda y no deben incorporarse innecesariamente al expediente administrativo del SG-SST.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