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PROCEDIMIENTO DE GESTIÓN DOCUMENTAL DEL SG-SST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PRO-SST-DOC-001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Controlar elaboración, aprobación, actualización, distribución, conservación y disposición de documentos y registros del SG-SST.</w:t>
      </w:r>
    </w:p>
    <w:p>
      <w:pPr>
        <w:pStyle w:val="Heading1"/>
      </w:pPr>
      <w:r>
        <w:t>2. Principios</w:t>
      </w:r>
    </w:p>
    <w:p>
      <w:pPr>
        <w:pStyle w:val="ListBullet"/>
      </w:pPr>
      <w:r>
        <w:t>Identificación única.</w:t>
      </w:r>
    </w:p>
    <w:p>
      <w:pPr>
        <w:pStyle w:val="ListBullet"/>
      </w:pPr>
      <w:r>
        <w:t>Control de versiones.</w:t>
      </w:r>
    </w:p>
    <w:p>
      <w:pPr>
        <w:pStyle w:val="ListBullet"/>
      </w:pPr>
      <w:r>
        <w:t>Aprobación previa al uso.</w:t>
      </w:r>
    </w:p>
    <w:p>
      <w:pPr>
        <w:pStyle w:val="ListBullet"/>
      </w:pPr>
      <w:r>
        <w:t>Disponibilidad y legibilidad.</w:t>
      </w:r>
    </w:p>
    <w:p>
      <w:pPr>
        <w:pStyle w:val="ListBullet"/>
      </w:pPr>
      <w:r>
        <w:t>Protección frente a pérdida o modificación no autorizada.</w:t>
      </w:r>
    </w:p>
    <w:p>
      <w:pPr>
        <w:pStyle w:val="ListBullet"/>
      </w:pPr>
      <w:r>
        <w:t>Trazabilidad.</w:t>
      </w:r>
    </w:p>
    <w:p>
      <w:pPr>
        <w:pStyle w:val="ListBullet"/>
      </w:pPr>
      <w:r>
        <w:t>Confidencialidad.</w:t>
      </w:r>
    </w:p>
    <w:p>
      <w:pPr>
        <w:pStyle w:val="Heading1"/>
      </w:pPr>
      <w:r>
        <w:t>3. Codificación</w:t>
      </w:r>
    </w:p>
    <w:p>
      <w:r>
        <w:t>PRO-SST-XXX para procedimientos; MAN-SST-XXX para manuales; FOR-SST-XXX para formatos; REG-SST-XXX para registros.</w:t>
      </w:r>
    </w:p>
    <w:p>
      <w:pPr>
        <w:pStyle w:val="Heading1"/>
      </w:pPr>
      <w:r>
        <w:t>4. Matriz maestra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t>Código</w:t>
            </w:r>
          </w:p>
        </w:tc>
        <w:tc>
          <w:tcPr>
            <w:tcW w:type="dxa" w:w="1440"/>
            <w:shd w:fill="D9EAF7"/>
          </w:tcPr>
          <w:p>
            <w:r>
              <w:t>Documento</w:t>
            </w:r>
          </w:p>
        </w:tc>
        <w:tc>
          <w:tcPr>
            <w:tcW w:type="dxa" w:w="1440"/>
            <w:shd w:fill="D9EAF7"/>
          </w:tcPr>
          <w:p>
            <w:r>
              <w:t>Versión</w:t>
            </w:r>
          </w:p>
        </w:tc>
        <w:tc>
          <w:tcPr>
            <w:tcW w:type="dxa" w:w="1440"/>
            <w:shd w:fill="D9EAF7"/>
          </w:tcPr>
          <w:p>
            <w:r>
              <w:t>Fecha</w:t>
            </w:r>
          </w:p>
        </w:tc>
        <w:tc>
          <w:tcPr>
            <w:tcW w:type="dxa" w:w="1440"/>
            <w:shd w:fill="D9EAF7"/>
          </w:tcPr>
          <w:p>
            <w:r>
              <w:t>Responsable</w:t>
            </w:r>
          </w:p>
        </w:tc>
        <w:tc>
          <w:tcPr>
            <w:tcW w:type="dxa" w:w="1440"/>
            <w:shd w:fill="D9EAF7"/>
          </w:tcPr>
          <w:p>
            <w:r>
              <w:t>Ubicación</w:t>
            </w:r>
          </w:p>
        </w:tc>
        <w:tc>
          <w:tcPr>
            <w:tcW w:type="dxa" w:w="1440"/>
            <w:shd w:fill="D9EAF7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5. Control de registros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t>Registro</w:t>
            </w:r>
          </w:p>
        </w:tc>
        <w:tc>
          <w:tcPr>
            <w:tcW w:type="dxa" w:w="1680"/>
            <w:shd w:fill="D9EAF7"/>
          </w:tcPr>
          <w:p>
            <w:r>
              <w:t>Responsable</w:t>
            </w:r>
          </w:p>
        </w:tc>
        <w:tc>
          <w:tcPr>
            <w:tcW w:type="dxa" w:w="1680"/>
            <w:shd w:fill="D9EAF7"/>
          </w:tcPr>
          <w:p>
            <w:r>
              <w:t>Medio</w:t>
            </w:r>
          </w:p>
        </w:tc>
        <w:tc>
          <w:tcPr>
            <w:tcW w:type="dxa" w:w="1680"/>
            <w:shd w:fill="D9EAF7"/>
          </w:tcPr>
          <w:p>
            <w:r>
              <w:t>Ubicación</w:t>
            </w:r>
          </w:p>
        </w:tc>
        <w:tc>
          <w:tcPr>
            <w:tcW w:type="dxa" w:w="1680"/>
            <w:shd w:fill="D9EAF7"/>
          </w:tcPr>
          <w:p>
            <w:r>
              <w:t>Retención aplicable</w:t>
            </w:r>
          </w:p>
        </w:tc>
        <w:tc>
          <w:tcPr>
            <w:tcW w:type="dxa" w:w="1680"/>
            <w:shd w:fill="D9EAF7"/>
          </w:tcPr>
          <w:p>
            <w:r>
              <w:t>Disposición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p>
      <w:pPr>
        <w:pStyle w:val="Heading1"/>
      </w:pPr>
      <w:r>
        <w:t>6. Cambios y obsoletos</w:t>
      </w:r>
    </w:p>
    <w:p>
      <w:r>
        <w:t>Toda modificación registra versión, fecha, descripción y responsable. Los documentos obsoletos se identifican y retiran de los puntos de uso.</w:t>
      </w:r>
    </w:p>
    <w:p>
      <w:pPr>
        <w:pStyle w:val="Heading1"/>
      </w:pPr>
      <w:r>
        <w:t>7. Información sensible</w:t>
      </w:r>
    </w:p>
    <w:p>
      <w:r>
        <w:t>Los registros de salud y datos personales tendrán acceso restringido y se gestionarán conforme a la normativa de protección de datos y custodia aplicable.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