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PROGRAMA DE RIESGO BIOMECÁNICO Y ERGONOMÍA</w:t>
      </w:r>
    </w:p>
    <w:p>
      <w:pPr>
        <w:jc w:val="center"/>
      </w:pPr>
      <w:r>
        <w:rPr>
          <w:b/>
        </w:rPr>
        <w:t>CONSULTORIO DE PSICOLOGÍA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Código</w:t>
              <w:br/>
              <w:t>PRO-SST-BIO-001</w:t>
            </w:r>
          </w:p>
        </w:tc>
        <w:tc>
          <w:tcPr>
            <w:tcW w:type="dxa" w:w="2520"/>
            <w:shd w:fill="D9EAF7"/>
          </w:tcPr>
          <w:p>
            <w:r>
              <w:t>Versión</w:t>
              <w:br/>
              <w:t>01</w:t>
            </w:r>
          </w:p>
        </w:tc>
        <w:tc>
          <w:tcPr>
            <w:tcW w:type="dxa" w:w="2520"/>
            <w:shd w:fill="D9EAF7"/>
          </w:tcPr>
          <w:p>
            <w:r>
              <w:t>Vigencia</w:t>
              <w:br/>
              <w:t>2026</w:t>
            </w:r>
          </w:p>
        </w:tc>
        <w:tc>
          <w:tcPr>
            <w:tcW w:type="dxa" w:w="2520"/>
            <w:shd w:fill="D9EAF7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2520"/>
            <w:shd w:fill="D9EAF7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2520"/>
            <w:shd w:fill="D9EAF7"/>
          </w:tcPr>
          <w:p>
            <w:r>
              <w:t>Fecha</w:t>
              <w:br/>
              <w:t>____/____/2026</w:t>
            </w:r>
          </w:p>
        </w:tc>
        <w:tc>
          <w:tcPr>
            <w:tcW w:type="dxa" w:w="2520"/>
            <w:shd w:fill="D9EAF7"/>
          </w:tcPr>
          <w:p>
            <w:r>
              <w:t>Revisión</w:t>
              <w:br/>
              <w:t>Anual</w:t>
            </w:r>
          </w:p>
        </w:tc>
        <w:tc>
          <w:tcPr>
            <w:tcW w:type="dxa" w:w="2520"/>
            <w:shd w:fill="D9EAF7"/>
          </w:tcPr>
          <w:p>
            <w:r>
              <w:t>Página</w:t>
              <w:br/>
              <w:t>____</w:t>
            </w:r>
          </w:p>
        </w:tc>
      </w:tr>
    </w:tbl>
    <w:p/>
    <w:p>
      <w:pPr>
        <w:pStyle w:val="Heading1"/>
      </w:pPr>
      <w:r>
        <w:t>1. Objetivo</w:t>
      </w:r>
    </w:p>
    <w:p>
      <w:r>
        <w:t>Prevenir molestias y lesiones musculoesqueléticas asociadas a posturas prolongadas, pantallas, movimientos repetitivos y condiciones inadecuadas del puesto.</w:t>
      </w:r>
    </w:p>
    <w:p>
      <w:pPr>
        <w:pStyle w:val="Heading1"/>
      </w:pPr>
      <w:r>
        <w:t>2. Riesgos</w:t>
      </w:r>
    </w:p>
    <w:p>
      <w:pPr>
        <w:pStyle w:val="ListBullet"/>
      </w:pPr>
      <w:r>
        <w:t>Posturas sedentes prolongadas.</w:t>
      </w:r>
    </w:p>
    <w:p>
      <w:pPr>
        <w:pStyle w:val="ListBullet"/>
      </w:pPr>
      <w:r>
        <w:t>Trabajo con pantalla.</w:t>
      </w:r>
    </w:p>
    <w:p>
      <w:pPr>
        <w:pStyle w:val="ListBullet"/>
      </w:pPr>
      <w:r>
        <w:t>Altura inadecuada de silla o monitor.</w:t>
      </w:r>
    </w:p>
    <w:p>
      <w:pPr>
        <w:pStyle w:val="ListBullet"/>
      </w:pPr>
      <w:r>
        <w:t>Movimientos repetitivos.</w:t>
      </w:r>
    </w:p>
    <w:p>
      <w:pPr>
        <w:pStyle w:val="ListBullet"/>
      </w:pPr>
      <w:r>
        <w:t>Manipulación ocasional de objetos.</w:t>
      </w:r>
    </w:p>
    <w:p>
      <w:pPr>
        <w:pStyle w:val="Heading1"/>
      </w:pPr>
      <w:r>
        <w:t>3. Controles</w:t>
      </w:r>
    </w:p>
    <w:p>
      <w:pPr>
        <w:pStyle w:val="ListBullet"/>
      </w:pPr>
      <w:r>
        <w:t>Adecuar silla, mesa y monitor.</w:t>
      </w:r>
    </w:p>
    <w:p>
      <w:pPr>
        <w:pStyle w:val="ListBullet"/>
      </w:pPr>
      <w:r>
        <w:t>Promover pausas activas.</w:t>
      </w:r>
    </w:p>
    <w:p>
      <w:pPr>
        <w:pStyle w:val="ListBullet"/>
      </w:pPr>
      <w:r>
        <w:t>Alternar tareas y posturas.</w:t>
      </w:r>
    </w:p>
    <w:p>
      <w:pPr>
        <w:pStyle w:val="ListBullet"/>
      </w:pPr>
      <w:r>
        <w:t>Capacitar en higiene postural.</w:t>
      </w:r>
    </w:p>
    <w:p>
      <w:pPr>
        <w:pStyle w:val="ListBullet"/>
      </w:pPr>
      <w:r>
        <w:t>Realizar inspecciones ergonómicas.</w:t>
      </w:r>
    </w:p>
    <w:p>
      <w:pPr>
        <w:pStyle w:val="ListBullet"/>
      </w:pPr>
      <w:r>
        <w:t>Atender recomendaciones médico-laborales.</w:t>
      </w:r>
    </w:p>
    <w:p>
      <w:pPr>
        <w:pStyle w:val="Heading1"/>
      </w:pPr>
      <w:r>
        <w:t>4. Evaluación ergonómica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Aspecto</w:t>
            </w:r>
          </w:p>
        </w:tc>
        <w:tc>
          <w:tcPr>
            <w:tcW w:type="dxa" w:w="2016"/>
            <w:shd w:fill="D9EAF7"/>
          </w:tcPr>
          <w:p>
            <w:r>
              <w:t>Cumple</w:t>
            </w:r>
          </w:p>
        </w:tc>
        <w:tc>
          <w:tcPr>
            <w:tcW w:type="dxa" w:w="2016"/>
            <w:shd w:fill="D9EAF7"/>
          </w:tcPr>
          <w:p>
            <w:r>
              <w:t>No cumple</w:t>
            </w:r>
          </w:p>
        </w:tc>
        <w:tc>
          <w:tcPr>
            <w:tcW w:type="dxa" w:w="2016"/>
            <w:shd w:fill="D9EAF7"/>
          </w:tcPr>
          <w:p>
            <w:r>
              <w:t>Observación</w:t>
            </w:r>
          </w:p>
        </w:tc>
        <w:tc>
          <w:tcPr>
            <w:tcW w:type="dxa" w:w="2016"/>
            <w:shd w:fill="D9EAF7"/>
          </w:tcPr>
          <w:p>
            <w:r>
              <w:t>Acción</w:t>
            </w:r>
          </w:p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>
      <w:pPr>
        <w:pStyle w:val="Heading1"/>
      </w:pPr>
      <w:r>
        <w:t>5. Pausas activas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t>Fecha</w:t>
            </w:r>
          </w:p>
        </w:tc>
        <w:tc>
          <w:tcPr>
            <w:tcW w:type="dxa" w:w="1680"/>
            <w:shd w:fill="D9EAF7"/>
          </w:tcPr>
          <w:p>
            <w:r>
              <w:t>Área/Persona</w:t>
            </w:r>
          </w:p>
        </w:tc>
        <w:tc>
          <w:tcPr>
            <w:tcW w:type="dxa" w:w="1680"/>
            <w:shd w:fill="D9EAF7"/>
          </w:tcPr>
          <w:p>
            <w:r>
              <w:t>Actividad</w:t>
            </w:r>
          </w:p>
        </w:tc>
        <w:tc>
          <w:tcPr>
            <w:tcW w:type="dxa" w:w="1680"/>
            <w:shd w:fill="D9EAF7"/>
          </w:tcPr>
          <w:p>
            <w:r>
              <w:t>Duración</w:t>
            </w:r>
          </w:p>
        </w:tc>
        <w:tc>
          <w:tcPr>
            <w:tcW w:type="dxa" w:w="1680"/>
            <w:shd w:fill="D9EAF7"/>
          </w:tcPr>
          <w:p>
            <w:r>
              <w:t>Responsable</w:t>
            </w:r>
          </w:p>
        </w:tc>
        <w:tc>
          <w:tcPr>
            <w:tcW w:type="dxa" w:w="1680"/>
            <w:shd w:fill="D9EAF7"/>
          </w:tcPr>
          <w:p>
            <w:r>
              <w:t>Observación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</w:tbl>
    <w:p>
      <w:pPr>
        <w:pStyle w:val="Heading1"/>
      </w:pPr>
      <w:r>
        <w:t>6. Indicadores</w:t>
      </w:r>
    </w:p>
    <w:p>
      <w:pPr>
        <w:pStyle w:val="ListBullet"/>
      </w:pPr>
      <w:r>
        <w:t>Cumplimiento de inspecciones ergonómicas.</w:t>
      </w:r>
    </w:p>
    <w:p>
      <w:pPr>
        <w:pStyle w:val="ListBullet"/>
      </w:pPr>
      <w:r>
        <w:t>Cobertura de pausas activas.</w:t>
      </w:r>
    </w:p>
    <w:p>
      <w:pPr>
        <w:pStyle w:val="ListBullet"/>
      </w:pPr>
      <w:r>
        <w:t>Cumplimiento de acciones de intervención.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3360"/>
          </w:tcPr>
          <w:p>
            <w:r>
              <w:t>REVISÓ</w:t>
              <w:br/>
              <w:t>________________</w:t>
            </w:r>
          </w:p>
        </w:tc>
        <w:tc>
          <w:tcPr>
            <w:tcW w:type="dxa" w:w="3360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