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PROGRAMA DE GESTIÓN DE CONTRATISTAS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PRO-SST-CON-001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Establecer requisitos mínimos de SST para selección, contratación, ingreso, ejecución y cierre de actividades de contratistas.</w:t>
      </w:r>
    </w:p>
    <w:p>
      <w:pPr>
        <w:pStyle w:val="Heading1"/>
      </w:pPr>
      <w:r>
        <w:t>2. Requisitos</w:t>
      </w:r>
    </w:p>
    <w:p>
      <w:pPr>
        <w:pStyle w:val="ListBullet"/>
      </w:pPr>
      <w:r>
        <w:t>Identificación y contacto.</w:t>
      </w:r>
    </w:p>
    <w:p>
      <w:pPr>
        <w:pStyle w:val="ListBullet"/>
      </w:pPr>
      <w:r>
        <w:t>Afiliaciones al Sistema de Seguridad Social cuando corresponda.</w:t>
      </w:r>
    </w:p>
    <w:p>
      <w:pPr>
        <w:pStyle w:val="ListBullet"/>
      </w:pPr>
      <w:r>
        <w:t>Competencias/licencias/certificaciones exigibles.</w:t>
      </w:r>
    </w:p>
    <w:p>
      <w:pPr>
        <w:pStyle w:val="ListBullet"/>
      </w:pPr>
      <w:r>
        <w:t>Inducción SST.</w:t>
      </w:r>
    </w:p>
    <w:p>
      <w:pPr>
        <w:pStyle w:val="ListBullet"/>
      </w:pPr>
      <w:r>
        <w:t>Identificación de peligros y controles.</w:t>
      </w:r>
    </w:p>
    <w:p>
      <w:pPr>
        <w:pStyle w:val="ListBullet"/>
      </w:pPr>
      <w:r>
        <w:t>EPP cuando aplique.</w:t>
      </w:r>
    </w:p>
    <w:p>
      <w:pPr>
        <w:pStyle w:val="Heading1"/>
      </w:pPr>
      <w:r>
        <w:t>3. Checklist de ingreso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Requisito</w:t>
            </w:r>
          </w:p>
        </w:tc>
        <w:tc>
          <w:tcPr>
            <w:tcW w:type="dxa" w:w="2016"/>
            <w:shd w:fill="D9EAF7"/>
          </w:tcPr>
          <w:p>
            <w:r>
              <w:t>Presentado</w:t>
            </w:r>
          </w:p>
        </w:tc>
        <w:tc>
          <w:tcPr>
            <w:tcW w:type="dxa" w:w="2016"/>
            <w:shd w:fill="D9EAF7"/>
          </w:tcPr>
          <w:p>
            <w:r>
              <w:t>Vigente</w:t>
            </w:r>
          </w:p>
        </w:tc>
        <w:tc>
          <w:tcPr>
            <w:tcW w:type="dxa" w:w="2016"/>
            <w:shd w:fill="D9EAF7"/>
          </w:tcPr>
          <w:p>
            <w:r>
              <w:t>N/A</w:t>
            </w:r>
          </w:p>
        </w:tc>
        <w:tc>
          <w:tcPr>
            <w:tcW w:type="dxa" w:w="2016"/>
            <w:shd w:fill="D9EAF7"/>
          </w:tcPr>
          <w:p>
            <w:r>
              <w:t>Observación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pStyle w:val="Heading1"/>
      </w:pPr>
      <w:r>
        <w:t>4.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Contratista</w:t>
            </w:r>
          </w:p>
        </w:tc>
        <w:tc>
          <w:tcPr>
            <w:tcW w:type="dxa" w:w="1680"/>
            <w:shd w:fill="D9EAF7"/>
          </w:tcPr>
          <w:p>
            <w:r>
              <w:t>Cumplimiento SST</w:t>
            </w:r>
          </w:p>
        </w:tc>
        <w:tc>
          <w:tcPr>
            <w:tcW w:type="dxa" w:w="1680"/>
            <w:shd w:fill="D9EAF7"/>
          </w:tcPr>
          <w:p>
            <w:r>
              <w:t>Incidentes</w:t>
            </w:r>
          </w:p>
        </w:tc>
        <w:tc>
          <w:tcPr>
            <w:tcW w:type="dxa" w:w="1680"/>
            <w:shd w:fill="D9EAF7"/>
          </w:tcPr>
          <w:p>
            <w:r>
              <w:t>Documentación</w:t>
            </w:r>
          </w:p>
        </w:tc>
        <w:tc>
          <w:tcPr>
            <w:tcW w:type="dxa" w:w="1680"/>
            <w:shd w:fill="D9EAF7"/>
          </w:tcPr>
          <w:p>
            <w:r>
              <w:t>Resultado</w:t>
            </w:r>
          </w:p>
        </w:tc>
        <w:tc>
          <w:tcPr>
            <w:tcW w:type="dxa" w:w="1680"/>
            <w:shd w:fill="D9EAF7"/>
          </w:tcPr>
          <w:p>
            <w:r>
              <w:t>Acción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>
      <w:pPr>
        <w:pStyle w:val="Heading1"/>
      </w:pPr>
      <w:r>
        <w:t>5. Seguimiento</w:t>
      </w:r>
    </w:p>
    <w:p>
      <w:r>
        <w:t>El incumplimiento genera acciones de mejora y, cuando corresponda, medidas contractuales conforme a lo pactado.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