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PROGRAMA DE INDUCCIÓN Y REINDUCCIÓN SG-SST</w:t>
      </w:r>
    </w:p>
    <w:p>
      <w:pPr>
        <w:jc w:val="center"/>
      </w:pPr>
      <w:r>
        <w:rPr>
          <w:b/>
        </w:rPr>
        <w:t>CONSULTORIO DE PSICOLOGÍA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Código</w:t>
              <w:br/>
              <w:t>PRO-SST-IND-001</w:t>
            </w:r>
          </w:p>
        </w:tc>
        <w:tc>
          <w:tcPr>
            <w:tcW w:type="dxa" w:w="2520"/>
            <w:shd w:fill="D9EAF7"/>
          </w:tcPr>
          <w:p>
            <w:r>
              <w:t>Versión</w:t>
              <w:br/>
              <w:t>01</w:t>
            </w:r>
          </w:p>
        </w:tc>
        <w:tc>
          <w:tcPr>
            <w:tcW w:type="dxa" w:w="2520"/>
            <w:shd w:fill="D9EAF7"/>
          </w:tcPr>
          <w:p>
            <w:r>
              <w:t>Vigencia</w:t>
              <w:br/>
              <w:t>2026</w:t>
            </w:r>
          </w:p>
        </w:tc>
        <w:tc>
          <w:tcPr>
            <w:tcW w:type="dxa" w:w="2520"/>
            <w:shd w:fill="D9EAF7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2520"/>
            <w:shd w:fill="D9EAF7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2520"/>
            <w:shd w:fill="D9EAF7"/>
          </w:tcPr>
          <w:p>
            <w:r>
              <w:t>Fecha</w:t>
              <w:br/>
              <w:t>____/____/2026</w:t>
            </w:r>
          </w:p>
        </w:tc>
        <w:tc>
          <w:tcPr>
            <w:tcW w:type="dxa" w:w="2520"/>
            <w:shd w:fill="D9EAF7"/>
          </w:tcPr>
          <w:p>
            <w:r>
              <w:t>Revisión</w:t>
              <w:br/>
              <w:t>Anual</w:t>
            </w:r>
          </w:p>
        </w:tc>
        <w:tc>
          <w:tcPr>
            <w:tcW w:type="dxa" w:w="2520"/>
            <w:shd w:fill="D9EAF7"/>
          </w:tcPr>
          <w:p>
            <w:r>
              <w:t>Página</w:t>
              <w:br/>
              <w:t>____</w:t>
            </w:r>
          </w:p>
        </w:tc>
      </w:tr>
    </w:tbl>
    <w:p/>
    <w:p>
      <w:pPr>
        <w:pStyle w:val="Heading1"/>
      </w:pPr>
      <w:r>
        <w:t>1. Objetivo</w:t>
      </w:r>
    </w:p>
    <w:p>
      <w:r>
        <w:t>Garantizar que trabajadores y demás personas a quienes corresponda conozcan riesgos, controles, responsabilidades y procedimientos SST.</w:t>
      </w:r>
    </w:p>
    <w:p>
      <w:pPr>
        <w:pStyle w:val="Heading1"/>
      </w:pPr>
      <w:r>
        <w:t>2. Contenido</w:t>
      </w:r>
    </w:p>
    <w:p>
      <w:pPr>
        <w:pStyle w:val="ListBullet"/>
      </w:pPr>
      <w:r>
        <w:t>Política y objetivos SST.</w:t>
      </w:r>
    </w:p>
    <w:p>
      <w:pPr>
        <w:pStyle w:val="ListBullet"/>
      </w:pPr>
      <w:r>
        <w:t>Responsabilidades.</w:t>
      </w:r>
    </w:p>
    <w:p>
      <w:pPr>
        <w:pStyle w:val="ListBullet"/>
      </w:pPr>
      <w:r>
        <w:t>Peligros y riesgos del cargo.</w:t>
      </w:r>
    </w:p>
    <w:p>
      <w:pPr>
        <w:pStyle w:val="ListBullet"/>
      </w:pPr>
      <w:r>
        <w:t>Controles.</w:t>
      </w:r>
    </w:p>
    <w:p>
      <w:pPr>
        <w:pStyle w:val="ListBullet"/>
      </w:pPr>
      <w:r>
        <w:t>Reporte de condiciones inseguras.</w:t>
      </w:r>
    </w:p>
    <w:p>
      <w:pPr>
        <w:pStyle w:val="ListBullet"/>
      </w:pPr>
      <w:r>
        <w:t>Reporte y atención de accidentes.</w:t>
      </w:r>
    </w:p>
    <w:p>
      <w:pPr>
        <w:pStyle w:val="ListBullet"/>
      </w:pPr>
      <w:r>
        <w:t>Plan de emergencias y rutas.</w:t>
      </w:r>
    </w:p>
    <w:p>
      <w:pPr>
        <w:pStyle w:val="ListBullet"/>
      </w:pPr>
      <w:r>
        <w:t>EPP cuando aplique.</w:t>
      </w:r>
    </w:p>
    <w:p>
      <w:pPr>
        <w:pStyle w:val="ListBullet"/>
      </w:pPr>
      <w:r>
        <w:t>Riesgo psicosocial y canales internos.</w:t>
      </w:r>
    </w:p>
    <w:p>
      <w:pPr>
        <w:pStyle w:val="ListBullet"/>
      </w:pPr>
      <w:r>
        <w:t>Procedimientos relevantes.</w:t>
      </w:r>
    </w:p>
    <w:p>
      <w:pPr>
        <w:pStyle w:val="Heading1"/>
      </w:pPr>
      <w:r>
        <w:t>3. Momentos</w:t>
      </w:r>
    </w:p>
    <w:p>
      <w:pPr>
        <w:pStyle w:val="ListBullet"/>
      </w:pPr>
      <w:r>
        <w:t>Ingreso.</w:t>
      </w:r>
    </w:p>
    <w:p>
      <w:pPr>
        <w:pStyle w:val="ListBullet"/>
      </w:pPr>
      <w:r>
        <w:t>Cambio de cargo o funciones.</w:t>
      </w:r>
    </w:p>
    <w:p>
      <w:pPr>
        <w:pStyle w:val="ListBullet"/>
      </w:pPr>
      <w:r>
        <w:t>Reinducción periódica.</w:t>
      </w:r>
    </w:p>
    <w:p>
      <w:pPr>
        <w:pStyle w:val="ListBullet"/>
      </w:pPr>
      <w:r>
        <w:t>Cambios relevantes en procesos, riesgos o normativa.</w:t>
      </w:r>
    </w:p>
    <w:p>
      <w:pPr>
        <w:pStyle w:val="Heading1"/>
      </w:pPr>
      <w:r>
        <w:t>4. Registro individual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t>Nombre</w:t>
            </w:r>
          </w:p>
        </w:tc>
        <w:tc>
          <w:tcPr>
            <w:tcW w:type="dxa" w:w="1440"/>
            <w:shd w:fill="D9EAF7"/>
          </w:tcPr>
          <w:p>
            <w:r>
              <w:t>Cargo</w:t>
            </w:r>
          </w:p>
        </w:tc>
        <w:tc>
          <w:tcPr>
            <w:tcW w:type="dxa" w:w="1440"/>
            <w:shd w:fill="D9EAF7"/>
          </w:tcPr>
          <w:p>
            <w:r>
              <w:t>Fecha</w:t>
            </w:r>
          </w:p>
        </w:tc>
        <w:tc>
          <w:tcPr>
            <w:tcW w:type="dxa" w:w="1440"/>
            <w:shd w:fill="D9EAF7"/>
          </w:tcPr>
          <w:p>
            <w:r>
              <w:t>Tipo</w:t>
            </w:r>
          </w:p>
        </w:tc>
        <w:tc>
          <w:tcPr>
            <w:tcW w:type="dxa" w:w="1440"/>
            <w:shd w:fill="D9EAF7"/>
          </w:tcPr>
          <w:p>
            <w:r>
              <w:t>Temas</w:t>
            </w:r>
          </w:p>
        </w:tc>
        <w:tc>
          <w:tcPr>
            <w:tcW w:type="dxa" w:w="1440"/>
            <w:shd w:fill="D9EAF7"/>
          </w:tcPr>
          <w:p>
            <w:r>
              <w:t>Evaluación</w:t>
            </w:r>
          </w:p>
        </w:tc>
        <w:tc>
          <w:tcPr>
            <w:tcW w:type="dxa" w:w="1440"/>
            <w:shd w:fill="D9EAF7"/>
          </w:tcPr>
          <w:p>
            <w:r>
              <w:t>Firma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5. Evaluación</w:t>
      </w:r>
    </w:p>
    <w:p>
      <w:r>
        <w:t>Verificar comprensión mediante preguntas, lista de chequeo o evaluación breve, especialmente en emergencias, reporte de accidentes y riesgos prioritarios.</w:t>
      </w:r>
    </w:p>
    <w:p>
      <w:pPr>
        <w:pStyle w:val="Heading1"/>
      </w:pPr>
      <w:r>
        <w:t>6. Indicadores</w:t>
      </w:r>
    </w:p>
    <w:p>
      <w:pPr>
        <w:pStyle w:val="ListBullet"/>
      </w:pPr>
      <w:r>
        <w:t>Cobertura de inducción = personas con inducción / personas que requieren inducción × 100.</w:t>
      </w:r>
    </w:p>
    <w:p>
      <w:pPr>
        <w:pStyle w:val="ListBullet"/>
      </w:pPr>
      <w:r>
        <w:t>Cumplimiento de reinducción = realizadas / programadas × 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3360"/>
          </w:tcPr>
          <w:p>
            <w:r>
              <w:t>REVISÓ</w:t>
              <w:br/>
              <w:t>________________</w:t>
            </w:r>
          </w:p>
        </w:tc>
        <w:tc>
          <w:tcPr>
            <w:tcW w:type="dxa" w:w="3360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