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Hoofdstuk 4 — Onderzoeksvraag en subvragen</w:t>
      </w:r>
    </w:p>
    <w:p>
      <w:pPr>
        <w:pStyle w:val="Subtitle"/>
      </w:pPr>
      <w:r>
        <w:t xml:space="preserve">Onderdeel van: ORM AI Nieuws — Ontwerpgericht onderzoek (DBR), v0.1-concept</w:t>
      </w:r>
    </w:p>
    <w:p>
      <w:pPr>
        <w:pStyle w:val="Author"/>
      </w:pPr>
      <w:r>
        <w:t xml:space="preserve">Lex Coene, Hanzehogeschool Groningen, opleiding ORM</w:t>
      </w:r>
    </w:p>
    <w:p>
      <w:pPr>
        <w:pStyle w:val="Date"/>
      </w:pPr>
      <w:r>
        <w:t xml:space="preserve">Mei 2026</w:t>
      </w:r>
    </w:p>
    <w:bookmarkStart w:id="16" w:name="onderzoeksvraag-en-subvragen"/>
    <w:p>
      <w:pPr>
        <w:pStyle w:val="Heading1"/>
      </w:pPr>
      <w:r>
        <w:t xml:space="preserve">4. Onderzoeksvraag en subvragen</w:t>
      </w:r>
    </w:p>
    <w:p>
      <w:pPr>
        <w:pStyle w:val="FirstParagraph"/>
      </w:pPr>
      <w:r>
        <w:t xml:space="preserve">Op basis van de probleemanalyse (hoofdstuk 2) en het theoretisch kader (hoofdstuk 3) wordt de hoofdvraag van dit onderzoek als volgt geformuleerd:</w:t>
      </w:r>
    </w:p>
    <w:bookmarkStart w:id="9" w:name="hoofdvraag"/>
    <w:p>
      <w:pPr>
        <w:pStyle w:val="Heading2"/>
      </w:pPr>
      <w:r>
        <w:t xml:space="preserve">4.1 Hoofdvraag</w:t>
      </w:r>
    </w:p>
    <w:p>
      <w:pPr>
        <w:pStyle w:val="BlockText"/>
      </w:pPr>
      <w:r>
        <w:rPr>
          <w:b/>
          <w:bCs/>
        </w:rPr>
        <w:t xml:space="preserve">Hoe kan een gefilterd, AI-ondersteund nieuwsdashboard zo ontworpen worden dat het docenten van een hbo-opleiding helpt om relevant AI-nieuws bij te houden, en welke ontwerpprincipes zijn daarbij overdraagbaar naar vergelijkbare onderwijscontexten?</w:t>
      </w:r>
    </w:p>
    <w:p>
      <w:pPr>
        <w:pStyle w:val="FirstParagraph"/>
      </w:pPr>
      <w:r>
        <w:t xml:space="preserve">De hoofdvraag is bewust tweeledig geformuleerd. Het eerste deel —</w:t>
      </w:r>
      <w:r>
        <w:t xml:space="preserve"> </w:t>
      </w:r>
      <w:r>
        <w:rPr>
          <w:i/>
          <w:iCs/>
        </w:rPr>
        <w:t xml:space="preserve">hoe kan een dashboard zo ontworpen worden</w:t>
      </w:r>
      <w:r>
        <w:t xml:space="preserve"> </w:t>
      </w:r>
      <w:r>
        <w:t xml:space="preserve">— sluit aan bij de productgerichte component van DBR: een werkend artefact als opbrengst. Het tweede deel —</w:t>
      </w:r>
      <w:r>
        <w:t xml:space="preserve"> </w:t>
      </w:r>
      <w:r>
        <w:rPr>
          <w:i/>
          <w:iCs/>
        </w:rPr>
        <w:t xml:space="preserve">welke ontwerpprincipes zijn overdraagbaar</w:t>
      </w:r>
      <w:r>
        <w:t xml:space="preserve"> </w:t>
      </w:r>
      <w:r>
        <w:t xml:space="preserve">— sluit aan bij de procesgerichte, theoriegenererende component van DBR (McKenney &amp; Reeves, 2018; Plomp, 2013). Beide componenten worden binnen dit onderzoek behandeld als gelijkwaardig.</w:t>
      </w:r>
    </w:p>
    <w:bookmarkEnd w:id="9"/>
    <w:bookmarkStart w:id="14" w:name="subvragen"/>
    <w:p>
      <w:pPr>
        <w:pStyle w:val="Heading2"/>
      </w:pPr>
      <w:r>
        <w:t xml:space="preserve">4.2 Subvragen</w:t>
      </w:r>
    </w:p>
    <w:p>
      <w:pPr>
        <w:pStyle w:val="FirstParagraph"/>
      </w:pPr>
      <w:r>
        <w:t xml:space="preserve">De hoofdvraag wordt geoperationaliseerd in vier subvragen, elk gekoppeld aan een specifiek onderdeel van het theoretisch kader (zie tabel 4.1).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Subvraag</w:t>
            </w:r>
          </w:p>
        </w:tc>
        <w:tc>
          <w:tcPr/>
          <w:p>
            <w:pPr>
              <w:pStyle w:val="Compact"/>
            </w:pPr>
            <w:r>
              <w:t xml:space="preserve">Verankering in hoofdstuk 3</w:t>
            </w:r>
          </w:p>
        </w:tc>
        <w:tc>
          <w:tcPr/>
          <w:p>
            <w:pPr>
              <w:pStyle w:val="Compact"/>
            </w:pPr>
            <w:r>
              <w:t xml:space="preserve">Hoofdstuk waar beantwoord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§3.4 (curatie en information overload) + §3.3 (AI-geletterdheid)</w:t>
            </w:r>
          </w:p>
        </w:tc>
        <w:tc>
          <w:tcPr/>
          <w:p>
            <w:pPr>
              <w:pStyle w:val="Compact"/>
            </w:pPr>
            <w:r>
              <w:t xml:space="preserve">H6 t/m H10 (ontwerpcycli)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§3.4 (curatie); §3.3 (AI als scaffold)</w:t>
            </w:r>
          </w:p>
        </w:tc>
        <w:tc>
          <w:tcPr/>
          <w:p>
            <w:pPr>
              <w:pStyle w:val="Compact"/>
            </w:pPr>
            <w:r>
              <w:t xml:space="preserve">H8 (cyclus 3); H9 (cyclus 4); H11.3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§3.2 (TAM)</w:t>
            </w:r>
          </w:p>
        </w:tc>
        <w:tc>
          <w:tcPr/>
          <w:p>
            <w:pPr>
              <w:pStyle w:val="Compact"/>
            </w:pPr>
            <w:r>
              <w:t xml:space="preserve">H7 (cyclus 2); H10 (cyclus 5b); H11.1, 11.2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§3.1 (DBR — generaliseerbare ontwerpkennis)</w:t>
            </w:r>
          </w:p>
        </w:tc>
        <w:tc>
          <w:tcPr/>
          <w:p>
            <w:pPr>
              <w:pStyle w:val="Compact"/>
            </w:pPr>
            <w:r>
              <w:t xml:space="preserve">H11.4; H13</w:t>
            </w:r>
          </w:p>
        </w:tc>
      </w:tr>
    </w:tbl>
    <w:bookmarkStart w:id="10" w:name="subvraag-1"/>
    <w:p>
      <w:pPr>
        <w:pStyle w:val="Heading3"/>
      </w:pPr>
      <w:r>
        <w:t xml:space="preserve">Subvraag 1</w:t>
      </w:r>
    </w:p>
    <w:p>
      <w:pPr>
        <w:pStyle w:val="FirstParagraph"/>
      </w:pPr>
      <w:r>
        <w:rPr>
          <w:b/>
          <w:bCs/>
        </w:rPr>
        <w:t xml:space="preserve">Welke functionele en niet-functionele eisen stellen ORM-docenten aan een AI-nieuwsdashboard?</w:t>
      </w:r>
    </w:p>
    <w:p>
      <w:pPr>
        <w:pStyle w:val="BodyText"/>
      </w:pPr>
      <w:r>
        <w:t xml:space="preserve">Deze vraag wordt beantwoord op basis van de iteratieve tester-feedback en de TAM-georiënteerde evaluaties in cycli 1 t/m 5. De vraag adresseert zowel inhoudelijke functionaliteit (welke nieuwsbronnen, welke filteringen, welke chatfuncties) als niet-functionele eisen (gemak van installatie, snelheid, interface-conventies).</w:t>
      </w:r>
    </w:p>
    <w:bookmarkEnd w:id="10"/>
    <w:bookmarkStart w:id="11" w:name="subvraag-2"/>
    <w:p>
      <w:pPr>
        <w:pStyle w:val="Heading3"/>
      </w:pPr>
      <w:r>
        <w:t xml:space="preserve">Subvraag 2</w:t>
      </w:r>
    </w:p>
    <w:p>
      <w:pPr>
        <w:pStyle w:val="FirstParagraph"/>
      </w:pPr>
      <w:r>
        <w:rPr>
          <w:b/>
          <w:bCs/>
        </w:rPr>
        <w:t xml:space="preserve">Hoe kan AI (LLM-gebaseerde summarisation en filtering) effectief worden ingezet om vakspecifiek, AI-toepassingsgericht nieuws te selecteren?</w:t>
      </w:r>
    </w:p>
    <w:p>
      <w:pPr>
        <w:pStyle w:val="BodyText"/>
      </w:pPr>
      <w:r>
        <w:t xml:space="preserve">Deze vraag is centraal voor de cycli 3 en 4 en gaat specifiek over de gelaagde-curatie-architectuur (regex + LLM) en de prompt-engineering-keuzes. De beantwoording levert ontwerpkennis op over de inzet van LLM’s binnen smalle thematische domeinen.</w:t>
      </w:r>
    </w:p>
    <w:bookmarkEnd w:id="11"/>
    <w:bookmarkStart w:id="12" w:name="subvraag-3"/>
    <w:p>
      <w:pPr>
        <w:pStyle w:val="Heading3"/>
      </w:pPr>
      <w:r>
        <w:t xml:space="preserve">Subvraag 3</w:t>
      </w:r>
    </w:p>
    <w:p>
      <w:pPr>
        <w:pStyle w:val="FirstParagraph"/>
      </w:pPr>
      <w:r>
        <w:rPr>
          <w:b/>
          <w:bCs/>
        </w:rPr>
        <w:t xml:space="preserve">Welke factoren bepalen acceptatie en daadwerkelijk gebruik van het dashboard door docenten, gemeten via TAM-georiënteerde evaluatie?</w:t>
      </w:r>
    </w:p>
    <w:p>
      <w:pPr>
        <w:pStyle w:val="BodyText"/>
      </w:pPr>
      <w:r>
        <w:t xml:space="preserve">Deze vraag is verankerd in TAM (Davis, 1989; Granić &amp; Marangunić, 2019; Scherer, Siddiq &amp; Tondeur, 2019) en wordt beantwoord op basis van de TAM-simulatie (cyclus 2), de spontane feedback (cyclus 5a) en de gestructureerde feedback-vragenlijst (cyclus 5b). Voor v0.1 van dit rapport is alleen de cyclus 2-data beschikbaar; de cyclus 5-data wordt na augustus 2026 toegevoegd.</w:t>
      </w:r>
    </w:p>
    <w:bookmarkEnd w:id="12"/>
    <w:bookmarkStart w:id="13" w:name="subvraag-4"/>
    <w:p>
      <w:pPr>
        <w:pStyle w:val="Heading3"/>
      </w:pPr>
      <w:r>
        <w:t xml:space="preserve">Subvraag 4</w:t>
      </w:r>
    </w:p>
    <w:p>
      <w:pPr>
        <w:pStyle w:val="FirstParagraph"/>
      </w:pPr>
      <w:r>
        <w:rPr>
          <w:b/>
          <w:bCs/>
        </w:rPr>
        <w:t xml:space="preserve">Welke ontwerpkennis is generaliseerbaar naar vergelijkbare HE-contexten, en op welk niveau van middelmatige theorie kan deze kennis worden geformuleerd?</w:t>
      </w:r>
    </w:p>
    <w:p>
      <w:pPr>
        <w:pStyle w:val="BodyText"/>
      </w:pPr>
      <w:r>
        <w:t xml:space="preserve">Deze vraag adresseert de DBR-eigen opbrengst van</w:t>
      </w:r>
      <w:r>
        <w:t xml:space="preserve"> </w:t>
      </w:r>
      <w:r>
        <w:rPr>
          <w:i/>
          <w:iCs/>
        </w:rPr>
        <w:t xml:space="preserve">design principles</w:t>
      </w:r>
      <w:r>
        <w:t xml:space="preserve"> </w:t>
      </w:r>
      <w:r>
        <w:t xml:space="preserve">(Plomp, 2013; McKenney &amp; Reeves, 2018, hoofdstuk 7). Op basis van de bevindingen uit alle cycli wordt in hoofdstuk 11 een set ontwerpprincipes geformuleerd, met expliciete reflectie op het abstractieniveau ervan.</w:t>
      </w:r>
    </w:p>
    <w:bookmarkEnd w:id="13"/>
    <w:bookmarkEnd w:id="14"/>
    <w:bookmarkStart w:id="15" w:name="X7023d06b913716f01db4755c69e285ce04d525a"/>
    <w:p>
      <w:pPr>
        <w:pStyle w:val="Heading2"/>
      </w:pPr>
      <w:r>
        <w:t xml:space="preserve">4.3 Plaats van de onderzoeksvraag binnen het rapport</w:t>
      </w:r>
    </w:p>
    <w:p>
      <w:pPr>
        <w:pStyle w:val="FirstParagraph"/>
      </w:pPr>
      <w:r>
        <w:t xml:space="preserve">De hoofdvraag en subvragen functioneren als rode draad voor de volgende hoofdstukken. In de methodologie (hoofdstuk 5) wordt verantwoord welke methoden welke (sub)vraag bedienen. In de cyclushoofdstukken (6 t/m 10) wordt per cyclus aangegeven aan welke (sub)vraag de cyclus bijdraagt. In de resultatenhoofdstukken (11) en de discussie (12) worden de subvragen integraal beantwoord; in de conclusie (13) volgt de samenvattende beantwoording van de hoofdvraag.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nl-N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Hoofdstuk 4 — Onderzoeksvraag en subvragen</dc:title>
  <dc:creator>Lex Coene, Hanzehogeschool Groningen, opleiding ORM</dc:creator>
  <dc:language>nl-NL</dc:language>
  <cp:keywords/>
  <dcterms:created xsi:type="dcterms:W3CDTF">2026-05-10T12:48:11Z</dcterms:created>
  <dcterms:modified xsi:type="dcterms:W3CDTF">2026-05-10T12:48:11Z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Mei 2026</vt:lpwstr>
  </property>
  <property fmtid="{D5CDD505-2E9C-101B-9397-08002B2CF9AE}" pid="3" name="subtitle">
    <vt:lpwstr>Onderdeel van: ORM AI Nieuws — Ontwerpgericht onderzoek (DBR), v0.1-concept</vt:lpwstr>
  </property>
</Properties>
</file>