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Hoofdstuk 5 — Methodologie</w:t>
      </w:r>
    </w:p>
    <w:p>
      <w:pPr>
        <w:pStyle w:val="Subtitle"/>
      </w:pPr>
      <w:r>
        <w:t xml:space="preserve">Onderdeel van: ORM AI Nieuws — Ontwerpgericht onderzoek (DBR), v0.1-concept</w:t>
      </w:r>
    </w:p>
    <w:p>
      <w:pPr>
        <w:pStyle w:val="Author"/>
      </w:pPr>
      <w:r>
        <w:t xml:space="preserve">Lex Coene, Hanzehogeschool Groningen, opleiding ORM</w:t>
      </w:r>
    </w:p>
    <w:p>
      <w:pPr>
        <w:pStyle w:val="Date"/>
      </w:pPr>
      <w:r>
        <w:t xml:space="preserve">Mei 2026</w:t>
      </w:r>
    </w:p>
    <w:bookmarkStart w:id="27" w:name="methodologie"/>
    <w:p>
      <w:pPr>
        <w:pStyle w:val="Heading1"/>
      </w:pPr>
      <w:r>
        <w:t xml:space="preserve">5. Methodologie</w:t>
      </w:r>
    </w:p>
    <w:bookmarkStart w:id="9" w:name="onderzoeksopzet-dbr-met-vijf-cycli"/>
    <w:p>
      <w:pPr>
        <w:pStyle w:val="Heading2"/>
      </w:pPr>
      <w:r>
        <w:t xml:space="preserve">5.1 Onderzoeksopzet: DBR met vijf cycli</w:t>
      </w:r>
    </w:p>
    <w:p>
      <w:pPr>
        <w:pStyle w:val="FirstParagraph"/>
      </w:pPr>
      <w:r>
        <w:t xml:space="preserve">Het onderzoek is opgezet als een Design-Based Research-traject (DBR; McKenney &amp; Reeves, 2018; Plomp, 2013) met vijf opeenvolgende ontwerpcycli van april 2026 tot — naar verwachting — september 2026. Elke cyclus omvat een ontwerp- of herontwerp-interventie, gevolgd door een evaluatie waarvan de bevindingen direct worden teruggekoppeld in de volgende cyclus.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Cyclus</w:t>
            </w:r>
          </w:p>
        </w:tc>
        <w:tc>
          <w:tcPr/>
          <w:p>
            <w:pPr>
              <w:pStyle w:val="Compact"/>
            </w:pPr>
            <w:r>
              <w:t xml:space="preserve">Periode</w:t>
            </w:r>
          </w:p>
        </w:tc>
        <w:tc>
          <w:tcPr/>
          <w:p>
            <w:pPr>
              <w:pStyle w:val="Compact"/>
            </w:pPr>
            <w:r>
              <w:t xml:space="preserve">Hoofd-interventie</w:t>
            </w:r>
          </w:p>
        </w:tc>
        <w:tc>
          <w:tcPr/>
          <w:p>
            <w:pPr>
              <w:pStyle w:val="Compact"/>
            </w:pPr>
            <w:r>
              <w:t xml:space="preserve">Evaluatie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15-29 april 2026</w:t>
            </w:r>
          </w:p>
        </w:tc>
        <w:tc>
          <w:tcPr/>
          <w:p>
            <w:pPr>
              <w:pStyle w:val="Compact"/>
            </w:pPr>
            <w:r>
              <w:t xml:space="preserve">Eerste prototype</w:t>
            </w:r>
          </w:p>
        </w:tc>
        <w:tc>
          <w:tcPr/>
          <w:p>
            <w:pPr>
              <w:pStyle w:val="Compact"/>
            </w:pPr>
            <w:r>
              <w:t xml:space="preserve">Open kwalitatieve 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 mei 2026</w:t>
            </w:r>
          </w:p>
        </w:tc>
        <w:tc>
          <w:tcPr/>
          <w:p>
            <w:pPr>
              <w:pStyle w:val="Compact"/>
            </w:pPr>
            <w:r>
              <w:t xml:space="preserve">TAM-georiënteerde code-review</w:t>
            </w:r>
          </w:p>
        </w:tc>
        <w:tc>
          <w:tcPr/>
          <w:p>
            <w:pPr>
              <w:pStyle w:val="Compact"/>
            </w:pPr>
            <w:r>
              <w:t xml:space="preserve">Inspectiebevindingen → 7 fixes, 3 verwijderingen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 mei 2026</w:t>
            </w:r>
          </w:p>
        </w:tc>
        <w:tc>
          <w:tcPr/>
          <w:p>
            <w:pPr>
              <w:pStyle w:val="Compact"/>
            </w:pPr>
            <w:r>
              <w:t xml:space="preserve">Filter-aanscherping op tester-feedback</w:t>
            </w:r>
          </w:p>
        </w:tc>
        <w:tc>
          <w:tcPr/>
          <w:p>
            <w:pPr>
              <w:pStyle w:val="Compact"/>
            </w:pPr>
            <w:r>
              <w:t xml:space="preserve">Vergelijking output-metrics (NL/INTL, relevantie)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9-10 mei 2026</w:t>
            </w:r>
          </w:p>
        </w:tc>
        <w:tc>
          <w:tcPr/>
          <w:p>
            <w:pPr>
              <w:pStyle w:val="Compact"/>
            </w:pPr>
            <w:r>
              <w:t xml:space="preserve">Cross-tab consistentie + LLM-instructies</w:t>
            </w:r>
          </w:p>
        </w:tc>
        <w:tc>
          <w:tcPr/>
          <w:p>
            <w:pPr>
              <w:pStyle w:val="Compact"/>
            </w:pPr>
            <w:r>
              <w:t xml:space="preserve">Vergelijking output-metrics + UI-inspectie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mei-augustus 2026</w:t>
            </w:r>
          </w:p>
        </w:tc>
        <w:tc>
          <w:tcPr/>
          <w:p>
            <w:pPr>
              <w:pStyle w:val="Compact"/>
            </w:pPr>
            <w:r>
              <w:t xml:space="preserve">Brede uitrol + gestructureerd feedback-instrument</w:t>
            </w:r>
          </w:p>
        </w:tc>
        <w:tc>
          <w:tcPr/>
          <w:p>
            <w:pPr>
              <w:pStyle w:val="Compact"/>
            </w:pPr>
            <w:r>
              <w:t xml:space="preserve">Spontane feedback (5a) + Google Form (5b) + gebruiksdata</w:t>
            </w:r>
          </w:p>
        </w:tc>
      </w:tr>
    </w:tbl>
    <w:p>
      <w:pPr>
        <w:pStyle w:val="BodyText"/>
      </w:pPr>
      <w:r>
        <w:t xml:space="preserve">De keuze voor vijf cycli sluit aan bij de DBR-aanbeveling om voldoende iteraties te doen om convergentie naar een werkbaar ontwerp te bereiken, zonder zo veel cycli dat de focus van het onderzoek verwatert (McKenney &amp; Reeves, 2018, hoofdstuk 7). De eerste vier cycli vonden plaats binnen vier weken — typisch voor de prototyping-fase; de vijfde cyclus beslaat een langere periode omdat implementatie-feedback tijd nodig heeft om te ontstaan.</w:t>
      </w:r>
    </w:p>
    <w:bookmarkEnd w:id="9"/>
    <w:bookmarkStart w:id="12" w:name="setting-en-participanten"/>
    <w:p>
      <w:pPr>
        <w:pStyle w:val="Heading2"/>
      </w:pPr>
      <w:r>
        <w:t xml:space="preserve">5.2 Setting en participanten</w:t>
      </w:r>
    </w:p>
    <w:bookmarkStart w:id="10" w:name="setting"/>
    <w:p>
      <w:pPr>
        <w:pStyle w:val="Heading3"/>
      </w:pPr>
      <w:r>
        <w:t xml:space="preserve">5.2.1 Setting</w:t>
      </w:r>
    </w:p>
    <w:p>
      <w:pPr>
        <w:pStyle w:val="FirstParagraph"/>
      </w:pPr>
      <w:r>
        <w:t xml:space="preserve">Het onderzoek vindt plaats binnen de opleiding Ondernemen en Retail Management (ORM) van de Hanzehogeschool Groningen. ORM is een vierjarige hbo-opleiding (bachelor of business administration) gericht op de domeinen retail, e-commerce, ondernemerschap en marketing. De opleiding telt circa 600 studenten, een tiental vakverantwoordelijken en een wijdere groep van rond 30 docenten.</w:t>
      </w:r>
    </w:p>
    <w:p>
      <w:pPr>
        <w:pStyle w:val="BodyText"/>
      </w:pPr>
      <w:r>
        <w:t xml:space="preserve">De keuze voor één opleiding als onderzoekssetting is bewust en sluit aan bij DBR-traditie van diepgaande studie binnen één natuurlijke context (Brown, 1992). Het beperkt de externe validiteit, maar maakt rijke kwalitatieve dataverzameling en directe terugkoppeling mogelijk.</w:t>
      </w:r>
    </w:p>
    <w:bookmarkEnd w:id="10"/>
    <w:bookmarkStart w:id="11" w:name="participanten"/>
    <w:p>
      <w:pPr>
        <w:pStyle w:val="Heading3"/>
      </w:pPr>
      <w:r>
        <w:t xml:space="preserve">5.2.2 Participanten</w:t>
      </w:r>
    </w:p>
    <w:p>
      <w:pPr>
        <w:pStyle w:val="FirstParagraph"/>
      </w:pPr>
      <w:r>
        <w:t xml:space="preserve">Drie groepen participanten zijn betrokken in verschillende cycli: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Auteur als ontwerper-onderzoeker</w:t>
      </w:r>
      <w:r>
        <w:t xml:space="preserve">: Lex Coene, docent ORM en verantwoordelijke voor AI-beleid van de opleiding. In cycli 1-4 functioneert de auteur als ontwerper, ontwikkelaar en initiële evaluator.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Beta-testers</w:t>
      </w:r>
      <w:r>
        <w:t xml:space="preserve">: twee collega-docenten binnen ORM (Ties de Boer en Nico [achternaam te anonimiseren]), uitgenodigd voor de eerste tester-ronde (cyclus 1) en de bredere ronde (cyclus 3 en 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Bredere groep vakverantwoordelijken</w:t>
      </w:r>
      <w:r>
        <w:t xml:space="preserve"> </w:t>
      </w:r>
      <w:r>
        <w:t xml:space="preserve">(cyclus 5): alle vakverantwoordelijken binnen de opleiding ORM, uitgenodigd via een gecombineerde mail op 10 mei 2026.</w:t>
      </w:r>
    </w:p>
    <w:p>
      <w:pPr>
        <w:pStyle w:val="FirstParagraph"/>
      </w:pPr>
      <w:r>
        <w:t xml:space="preserve">In het rapport worden tester-bijdragen waar zinvol geanonimiseerd; expliciete naamsvermelding gebeurt alleen met instemming van de betrokkene.</w:t>
      </w:r>
    </w:p>
    <w:bookmarkEnd w:id="11"/>
    <w:bookmarkEnd w:id="12"/>
    <w:bookmarkStart w:id="15" w:name="dataverzameling-per-cyclus"/>
    <w:p>
      <w:pPr>
        <w:pStyle w:val="Heading2"/>
      </w:pPr>
      <w:r>
        <w:t xml:space="preserve">5.3 Dataverzameling per cyclus</w:t>
      </w:r>
    </w:p>
    <w:p>
      <w:pPr>
        <w:pStyle w:val="FirstParagraph"/>
      </w:pPr>
      <w:r>
        <w:t xml:space="preserve">Per cyclus zijn verschillende soorten data verzameld, met combinaties van kwalitatieve en kwantitatieve methoden. Tabel 5.3 vat samen wat per cyclus is verzameld.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Cyclus</w:t>
            </w:r>
          </w:p>
        </w:tc>
        <w:tc>
          <w:tcPr/>
          <w:p>
            <w:pPr>
              <w:pStyle w:val="Compact"/>
            </w:pPr>
            <w:r>
              <w:t xml:space="preserve">Type data</w:t>
            </w:r>
          </w:p>
        </w:tc>
        <w:tc>
          <w:tcPr/>
          <w:p>
            <w:pPr>
              <w:pStyle w:val="Compact"/>
            </w:pPr>
            <w:r>
              <w:t xml:space="preserve">Methode</w:t>
            </w:r>
          </w:p>
        </w:tc>
        <w:tc>
          <w:tcPr/>
          <w:p>
            <w:pPr>
              <w:pStyle w:val="Compact"/>
            </w:pPr>
            <w:r>
              <w:t xml:space="preserve">Doel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Kwalitatief: tester-feedback via mail/gesprek</w:t>
            </w:r>
          </w:p>
        </w:tc>
        <w:tc>
          <w:tcPr/>
          <w:p>
            <w:pPr>
              <w:pStyle w:val="Compact"/>
            </w:pPr>
            <w:r>
              <w:t xml:space="preserve">Open uitnodiging tot reageren</w:t>
            </w:r>
          </w:p>
        </w:tc>
        <w:tc>
          <w:tcPr/>
          <w:p>
            <w:pPr>
              <w:pStyle w:val="Compact"/>
            </w:pPr>
            <w:r>
              <w:t xml:space="preserve">Brede signaal-detectie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Kwalitatief: bevindingen TAM-simulatie</w:t>
            </w:r>
          </w:p>
        </w:tc>
        <w:tc>
          <w:tcPr/>
          <w:p>
            <w:pPr>
              <w:pStyle w:val="Compact"/>
            </w:pPr>
            <w:r>
              <w:t xml:space="preserve">Code- en interface-review met PU/PEOU-vragen</w:t>
            </w:r>
          </w:p>
        </w:tc>
        <w:tc>
          <w:tcPr/>
          <w:p>
            <w:pPr>
              <w:pStyle w:val="Compact"/>
            </w:pPr>
            <w:r>
              <w:t xml:space="preserve">Systematische usability-evaluatie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Kwalitatief: gerichte tester-feedback (</w:t>
            </w:r>
            <w:r>
              <w:t xml:space="preserve">“te breed”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Mail / informeel gesprek</w:t>
            </w:r>
          </w:p>
        </w:tc>
        <w:tc>
          <w:tcPr/>
          <w:p>
            <w:pPr>
              <w:pStyle w:val="Compact"/>
            </w:pPr>
            <w:r>
              <w:t xml:space="preserve">Inhoudelijke kwaliteit van curatie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3-4</w:t>
            </w:r>
          </w:p>
        </w:tc>
        <w:tc>
          <w:tcPr/>
          <w:p>
            <w:pPr>
              <w:pStyle w:val="Compact"/>
            </w:pPr>
            <w:r>
              <w:t xml:space="preserve">Kwantitatief: output-metrics (aantallen, NL/INTL, pool-grootte)</w:t>
            </w:r>
          </w:p>
        </w:tc>
        <w:tc>
          <w:tcPr/>
          <w:p>
            <w:pPr>
              <w:pStyle w:val="Compact"/>
            </w:pPr>
            <w:r>
              <w:t xml:space="preserve">Server-logging + handmatige verificatie</w:t>
            </w:r>
          </w:p>
        </w:tc>
        <w:tc>
          <w:tcPr/>
          <w:p>
            <w:pPr>
              <w:pStyle w:val="Compact"/>
            </w:pPr>
            <w:r>
              <w:t xml:space="preserve">Effect van filterinterventies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5a</w:t>
            </w:r>
          </w:p>
        </w:tc>
        <w:tc>
          <w:tcPr/>
          <w:p>
            <w:pPr>
              <w:pStyle w:val="Compact"/>
            </w:pPr>
            <w:r>
              <w:t xml:space="preserve">Kwalitatief: spontane mail-feedback</w:t>
            </w:r>
          </w:p>
        </w:tc>
        <w:tc>
          <w:tcPr/>
          <w:p>
            <w:pPr>
              <w:pStyle w:val="Compact"/>
            </w:pPr>
            <w:r>
              <w:t xml:space="preserve">Open uitnodiging na uitrol</w:t>
            </w:r>
          </w:p>
        </w:tc>
        <w:tc>
          <w:tcPr/>
          <w:p>
            <w:pPr>
              <w:pStyle w:val="Compact"/>
            </w:pPr>
            <w:r>
              <w:t xml:space="preserve">Bredere gebruikssignalen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5a</w:t>
            </w:r>
          </w:p>
        </w:tc>
        <w:tc>
          <w:tcPr/>
          <w:p>
            <w:pPr>
              <w:pStyle w:val="Compact"/>
            </w:pPr>
            <w:r>
              <w:t xml:space="preserve">Kwantitatief: gebruiksdata (page views, fetch-counts)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Te ontwikkelen lichte server-logging</w:t>
            </w:r>
          </w:p>
        </w:tc>
        <w:tc>
          <w:tcPr/>
          <w:p>
            <w:pPr>
              <w:pStyle w:val="Compact"/>
            </w:pPr>
            <w:r>
              <w:t xml:space="preserve">Werkelijk gebruikspatroon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5b</w:t>
            </w:r>
          </w:p>
        </w:tc>
        <w:tc>
          <w:tcPr/>
          <w:p>
            <w:pPr>
              <w:pStyle w:val="Compact"/>
            </w:pPr>
            <w:r>
              <w:t xml:space="preserve">Mixed: Google Form responses</w:t>
            </w:r>
          </w:p>
        </w:tc>
        <w:tc>
          <w:tcPr/>
          <w:p>
            <w:pPr>
              <w:pStyle w:val="Compact"/>
            </w:pPr>
            <w:r>
              <w:t xml:space="preserve">Vier gesloten + één open vraag</w:t>
            </w:r>
          </w:p>
        </w:tc>
        <w:tc>
          <w:tcPr/>
          <w:p>
            <w:pPr>
              <w:pStyle w:val="Compact"/>
            </w:pPr>
            <w:r>
              <w:t xml:space="preserve">TAM-georiënteerde feedback met N-respons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5b</w:t>
            </w:r>
          </w:p>
        </w:tc>
        <w:tc>
          <w:tcPr/>
          <w:p>
            <w:pPr>
              <w:pStyle w:val="Compact"/>
            </w:pPr>
            <w:r>
              <w:t xml:space="preserve">Optioneel: follow-up gesprekken</w:t>
            </w:r>
          </w:p>
        </w:tc>
        <w:tc>
          <w:tcPr/>
          <w:p>
            <w:pPr>
              <w:pStyle w:val="Compact"/>
            </w:pPr>
            <w:r>
              <w:t xml:space="preserve">Member checking</w:t>
            </w:r>
          </w:p>
        </w:tc>
        <w:tc>
          <w:tcPr/>
          <w:p>
            <w:pPr>
              <w:pStyle w:val="Compact"/>
            </w:pPr>
            <w:r>
              <w:t xml:space="preserve">Diepte-interpretatie</w:t>
            </w:r>
          </w:p>
        </w:tc>
      </w:tr>
    </w:tbl>
    <w:bookmarkStart w:id="13" w:name="Xeb538661454b280e984fec7b4b4ea4a916beb60"/>
    <w:p>
      <w:pPr>
        <w:pStyle w:val="Heading3"/>
      </w:pPr>
      <w:r>
        <w:t xml:space="preserve">5.3.1 TAM-simulatie als methodisch instrument (cyclus 2)</w:t>
      </w:r>
    </w:p>
    <w:p>
      <w:pPr>
        <w:pStyle w:val="FirstParagraph"/>
      </w:pPr>
      <w:r>
        <w:t xml:space="preserve">In cyclus 2 is een methode toegepast die in dit onderzoek wordt aangeduid als</w:t>
      </w:r>
      <w:r>
        <w:t xml:space="preserve"> </w:t>
      </w:r>
      <w:r>
        <w:rPr>
          <w:i/>
          <w:iCs/>
        </w:rPr>
        <w:t xml:space="preserve">TAM-simulatie</w:t>
      </w:r>
      <w:r>
        <w:t xml:space="preserve">: een systematische code- en interface-review waarbij elk UI-element wordt beoordeeld op de twee TAM-dimensies</w:t>
      </w:r>
      <w:r>
        <w:t xml:space="preserve"> </w:t>
      </w:r>
      <w:r>
        <w:rPr>
          <w:i/>
          <w:iCs/>
        </w:rPr>
        <w:t xml:space="preserve">perceived usefulness</w:t>
      </w:r>
      <w:r>
        <w:t xml:space="preserve"> </w:t>
      </w:r>
      <w:r>
        <w:t xml:space="preserve">en</w:t>
      </w:r>
      <w:r>
        <w:t xml:space="preserve"> </w:t>
      </w:r>
      <w:r>
        <w:rPr>
          <w:i/>
          <w:iCs/>
        </w:rPr>
        <w:t xml:space="preserve">perceived ease of use</w:t>
      </w:r>
      <w:r>
        <w:t xml:space="preserve"> </w:t>
      </w:r>
      <w:r>
        <w:t xml:space="preserve">(Davis, 1989). De methode is methodologisch verwant aan heuristic evaluation (Nielsen, 1994; Nielsen &amp; Molich, 1990) en cognitive walkthrough (Wharton et al., 1994), maar specifiek georiënteerd op het TAM-kader om consistentie met de latere kwantitatieve TAM-evaluatie (cyclus 5b) te waarborgen.</w:t>
      </w:r>
    </w:p>
    <w:p>
      <w:pPr>
        <w:pStyle w:val="BodyText"/>
      </w:pPr>
      <w:r>
        <w:t xml:space="preserve">De methode is uitgevoerd door de auteur. Deze keuze is een methodologische beperking (zie reflectie in hoofdstuk 14): inspecties door de ontwerper zelf zijn vatbaar voor blinde vlekken. De mitigatie is drieledig:</w:t>
      </w:r>
    </w:p>
    <w:p>
      <w:pPr>
        <w:pStyle w:val="Compact"/>
        <w:numPr>
          <w:ilvl w:val="0"/>
          <w:numId w:val="1002"/>
        </w:numPr>
      </w:pPr>
      <w:r>
        <w:t xml:space="preserve">Bevindingen zijn vastgelegd in Git-commits — verifieerbaar door derden.</w:t>
      </w:r>
    </w:p>
    <w:p>
      <w:pPr>
        <w:pStyle w:val="Compact"/>
        <w:numPr>
          <w:ilvl w:val="0"/>
          <w:numId w:val="1002"/>
        </w:numPr>
      </w:pPr>
      <w:r>
        <w:t xml:space="preserve">Gevonden issues zijn vergeleken met de feitelijke gebruikerservaring in opvolgende cycli; geen van de in cyclus 2 gevonden issues bleek achteraf onterecht.</w:t>
      </w:r>
    </w:p>
    <w:p>
      <w:pPr>
        <w:pStyle w:val="Compact"/>
        <w:numPr>
          <w:ilvl w:val="0"/>
          <w:numId w:val="1002"/>
        </w:numPr>
      </w:pPr>
      <w:r>
        <w:t xml:space="preserve">In cyclus 5b wordt door middel van een vragenlijst onafhankelijke kwantitatieve TAM-evaluatie gedaan, die de waarde van de eerdere simulatie kan toetsen of ontkrachten.</w:t>
      </w:r>
    </w:p>
    <w:bookmarkEnd w:id="13"/>
    <w:bookmarkStart w:id="14" w:name="geplande-tam-vragenlijst-cyclus-5b"/>
    <w:p>
      <w:pPr>
        <w:pStyle w:val="Heading3"/>
      </w:pPr>
      <w:r>
        <w:t xml:space="preserve">5.3.2 Geplande TAM-vragenlijst (cyclus 5b)</w:t>
      </w:r>
    </w:p>
    <w:p>
      <w:pPr>
        <w:pStyle w:val="FirstParagraph"/>
      </w:pPr>
      <w:r>
        <w:t xml:space="preserve">Voor cyclus 5b wordt in juli 2026 een feedback-instrument gelanceerd in de vorm van een Google Form. De voorgestelde vragenstructuur is gebaseerd op het TAM-kader (zie hoofdstuk 10 §10.4.2). In een latere cyclus kan het Form worden uitgebreid met klassieke TAM-Likert-items voor PU en PEOU, zodra een voldoende grote N gebruikers beschikbaar is voor structural equation modelling-analyses zoals beschreven door Scherer, Siddiq en Tondeur (2019).</w:t>
      </w:r>
    </w:p>
    <w:bookmarkEnd w:id="14"/>
    <w:bookmarkEnd w:id="15"/>
    <w:bookmarkStart w:id="19" w:name="analyse"/>
    <w:p>
      <w:pPr>
        <w:pStyle w:val="Heading2"/>
      </w:pPr>
      <w:r>
        <w:t xml:space="preserve">5.4 Analyse</w:t>
      </w:r>
    </w:p>
    <w:bookmarkStart w:id="16" w:name="kwalitatieve-analyse"/>
    <w:p>
      <w:pPr>
        <w:pStyle w:val="Heading3"/>
      </w:pPr>
      <w:r>
        <w:t xml:space="preserve">5.4.1 Kwalitatieve analyse</w:t>
      </w:r>
    </w:p>
    <w:p>
      <w:pPr>
        <w:pStyle w:val="FirstParagraph"/>
      </w:pPr>
      <w:r>
        <w:t xml:space="preserve">De kwalitatieve data (tester-feedback in cycli 1, 3 en 5a; observaties in cycli 2 en 4) zijn thematisch geanalyseerd volgens een eenvoudig coderingsschema: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Soort issue</w:t>
      </w:r>
      <w:r>
        <w:t xml:space="preserve">: usability (PEOU), inhoudelijke kwaliteit (PU), platform-restrictie, technisch defect.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Ernst</w:t>
      </w:r>
      <w:r>
        <w:t xml:space="preserve">: blokkerend voor gebruik, hinderlijk maar omzeilbaar, cosmetisch.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Vereiste actie</w:t>
      </w:r>
      <w:r>
        <w:t xml:space="preserve">: code-fix, ontwerp-herziening, prompt-aanpassing, geen actie.</w:t>
      </w:r>
    </w:p>
    <w:p>
      <w:pPr>
        <w:pStyle w:val="FirstParagraph"/>
      </w:pPr>
      <w:r>
        <w:t xml:space="preserve">Dit schema is bewust eenvoudig gehouden om te passen bij de schaal van het onderzoek (klein aantal feedback-items per cyclus). Voor cyclus 5b — waar grotere data-volumes worden verwacht — zal dit schema worden uitgebreid met thematische codes zoals beschreven door Braun en Clarke (2006).</w:t>
      </w:r>
    </w:p>
    <w:bookmarkEnd w:id="16"/>
    <w:bookmarkStart w:id="17" w:name="kwantitatieve-analyse"/>
    <w:p>
      <w:pPr>
        <w:pStyle w:val="Heading3"/>
      </w:pPr>
      <w:r>
        <w:t xml:space="preserve">5.4.2 Kwantitatieve analyse</w:t>
      </w:r>
    </w:p>
    <w:p>
      <w:pPr>
        <w:pStyle w:val="FirstParagraph"/>
      </w:pPr>
      <w:r>
        <w:t xml:space="preserve">De kwantitatieve data (output-metrics in cycli 3-4, gebruiksdata in cyclus 5a, vragenlijst-responses in cyclus 5b) worden vergeleken op pre/post-iteratie-niveau: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Output-metrics</w:t>
      </w:r>
      <w:r>
        <w:t xml:space="preserve">: vergelijking van aantallen artikelen per regio (NL/INTL), per tab, en per cyclus-status (vóór/na een interventie).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Gebruiksdata</w:t>
      </w:r>
      <w:r>
        <w:t xml:space="preserve">: aggregeerde tellingen per dag/week, frequentieverdelingen per tab, retentiepatronen.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Vragenlijst-responses</w:t>
      </w:r>
      <w:r>
        <w:t xml:space="preserve">: descriptieve statistiek per vraag, kruistabellen tussen meest-gebruikte-tab en feedback-aspecten.</w:t>
      </w:r>
    </w:p>
    <w:p>
      <w:pPr>
        <w:pStyle w:val="FirstParagraph"/>
      </w:pPr>
      <w:r>
        <w:t xml:space="preserve">Voor v0.1 van dit rapport zijn alleen de cyclus 3-4-output-metrics beschikbaar; cyclus 5-data wordt na augustus 2026 toegevoegd.</w:t>
      </w:r>
    </w:p>
    <w:bookmarkEnd w:id="17"/>
    <w:bookmarkStart w:id="18" w:name="generaliseerbare-ontwerpkennis"/>
    <w:p>
      <w:pPr>
        <w:pStyle w:val="Heading3"/>
      </w:pPr>
      <w:r>
        <w:t xml:space="preserve">5.4.3 Generaliseerbare ontwerpkennis</w:t>
      </w:r>
    </w:p>
    <w:p>
      <w:pPr>
        <w:pStyle w:val="FirstParagraph"/>
      </w:pPr>
      <w:r>
        <w:t xml:space="preserve">Naast de cyclus-specifieke analyse wordt aan het einde van elk hoofdstuk en geconsolideerd in hoofdstuk 11 ontwerpkennis geformuleerd. Deze kennis is nadrukkelijk</w:t>
      </w:r>
      <w:r>
        <w:t xml:space="preserve"> </w:t>
      </w:r>
      <w:r>
        <w:rPr>
          <w:i/>
          <w:iCs/>
        </w:rPr>
        <w:t xml:space="preserve">theorie van middel-niveau</w:t>
      </w:r>
      <w:r>
        <w:t xml:space="preserve"> </w:t>
      </w:r>
      <w:r>
        <w:t xml:space="preserve">(Plomp, 2013): geen universele wetmatigheid, maar wel breder toepasbare principes dan de specifieke context van ORM.</w:t>
      </w:r>
    </w:p>
    <w:bookmarkEnd w:id="18"/>
    <w:bookmarkEnd w:id="19"/>
    <w:bookmarkStart w:id="20" w:name="ethische-overwegingen"/>
    <w:p>
      <w:pPr>
        <w:pStyle w:val="Heading2"/>
      </w:pPr>
      <w:r>
        <w:t xml:space="preserve">5.5 Ethische overwegingen</w:t>
      </w:r>
    </w:p>
    <w:p>
      <w:pPr>
        <w:pStyle w:val="FirstParagraph"/>
      </w:pPr>
      <w:r>
        <w:t xml:space="preserve">Het onderzoek raakt persoonsgegevens op drie punten: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Tester-mails</w:t>
      </w:r>
      <w:r>
        <w:t xml:space="preserve">: in het rapport worden namen alleen genoemd met instemming van de betrokkene. Inhoudelijke citaten worden waar nodig geanonimiseerd.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Gebruiksdata</w:t>
      </w:r>
      <w:r>
        <w:t xml:space="preserve">: de geplande server-logging registreert alleen geaggregeerde aantallen per tab, geen IP-adressen of identificeerbare paths. Hierdoor is geen toestemming volgens AVG vereist (CBS-richtlijn over geaggregeerde statistiek).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Vragenlijst-responses</w:t>
      </w:r>
      <w:r>
        <w:t xml:space="preserve">: het Google Form vraagt optioneel een e-mailadres voor follow-up; deze worden alleen gebruikt voor opvolgcontact en niet gepubliceerd.</w:t>
      </w:r>
    </w:p>
    <w:p>
      <w:pPr>
        <w:pStyle w:val="FirstParagraph"/>
      </w:pPr>
      <w:r>
        <w:t xml:space="preserve">Het onderzoek wordt uitgevoerd binnen de Hanzehogeschool, waar voor onderwijsontwikkeling-projecten van deze schaal geen ethische commissie-toestemming vereist is. Wel is intercollegiale afstemming met collega-docent Ties de Boer en — voor de externe publicatie — met lector Harald Pol onderdeel van het proces.</w:t>
      </w:r>
    </w:p>
    <w:bookmarkEnd w:id="20"/>
    <w:bookmarkStart w:id="25" w:name="betrouwbaarheid-en-validiteit"/>
    <w:p>
      <w:pPr>
        <w:pStyle w:val="Heading2"/>
      </w:pPr>
      <w:r>
        <w:t xml:space="preserve">5.6 Betrouwbaarheid en validiteit</w:t>
      </w:r>
    </w:p>
    <w:p>
      <w:pPr>
        <w:pStyle w:val="FirstParagraph"/>
      </w:pPr>
      <w:r>
        <w:t xml:space="preserve">De betrouwbaarheid en validiteit van DBR worden anders beoordeeld dan die van klassiek experimenteel onderzoek (Anderson &amp; Shattuck, 2012). Voor dit onderzoek worden vier strategieën ingezet:</w:t>
      </w:r>
    </w:p>
    <w:bookmarkStart w:id="21" w:name="triangulatie"/>
    <w:p>
      <w:pPr>
        <w:pStyle w:val="Heading3"/>
      </w:pPr>
      <w:r>
        <w:t xml:space="preserve">5.6.1 Triangulatie</w:t>
      </w:r>
    </w:p>
    <w:p>
      <w:pPr>
        <w:pStyle w:val="FirstParagraph"/>
      </w:pPr>
      <w:r>
        <w:t xml:space="preserve">De combinatie van kwalitatieve (tester-feedback, observaties) en kwantitatieve data (output-metrics, gebruiksdata, vragenlijst) maakt triangulatie mogelijk: bevindingen die uit één bron komen worden — waar mogelijk — getoetst aan een andere bron. Bijvoorbeeld: de tester-feedback</w:t>
      </w:r>
      <w:r>
        <w:t xml:space="preserve"> </w:t>
      </w:r>
      <w:r>
        <w:t xml:space="preserve">“te breed”</w:t>
      </w:r>
      <w:r>
        <w:t xml:space="preserve"> </w:t>
      </w:r>
      <w:r>
        <w:t xml:space="preserve">(cyclus 3) is vertaald naar concrete output-metrics die de verandering meetbaar maken.</w:t>
      </w:r>
    </w:p>
    <w:bookmarkEnd w:id="21"/>
    <w:bookmarkStart w:id="22" w:name="transparantie-via-open-documentatie"/>
    <w:p>
      <w:pPr>
        <w:pStyle w:val="Heading3"/>
      </w:pPr>
      <w:r>
        <w:t xml:space="preserve">5.6.2 Transparantie via open documentatie</w:t>
      </w:r>
    </w:p>
    <w:p>
      <w:pPr>
        <w:pStyle w:val="FirstParagraph"/>
      </w:pPr>
      <w:r>
        <w:t xml:space="preserve">Alle ontwerpiteraties zijn vastgelegd in Git-commits (publieke GitHub-repository) en het projectlog. Hierdoor is elke claim in dit rapport — over wat is gedaan, wanneer, en met welk effect — voor derden verifieerbaar. Deze radicale transparantie is een vorm van</w:t>
      </w:r>
      <w:r>
        <w:t xml:space="preserve"> </w:t>
      </w:r>
      <w:r>
        <w:rPr>
          <w:i/>
          <w:iCs/>
        </w:rPr>
        <w:t xml:space="preserve">audit trail</w:t>
      </w:r>
      <w:r>
        <w:t xml:space="preserve"> </w:t>
      </w:r>
      <w:r>
        <w:t xml:space="preserve">die de geloofwaardigheid van het onderzoek versterkt (Lincoln &amp; Guba, 1985).</w:t>
      </w:r>
    </w:p>
    <w:bookmarkEnd w:id="22"/>
    <w:bookmarkStart w:id="23" w:name="member-checking"/>
    <w:p>
      <w:pPr>
        <w:pStyle w:val="Heading3"/>
      </w:pPr>
      <w:r>
        <w:t xml:space="preserve">5.6.3 Member checking</w:t>
      </w:r>
    </w:p>
    <w:p>
      <w:pPr>
        <w:pStyle w:val="FirstParagraph"/>
      </w:pPr>
      <w:r>
        <w:t xml:space="preserve">In cyclus 5b is voorzien in optionele follow-up gesprekken met respondenten om de interpretatie van hun feedback te toetsen. Dit is een klassieke vorm van member checking voor kwalitatief onderzoek (Lincoln &amp; Guba, 1985).</w:t>
      </w:r>
    </w:p>
    <w:bookmarkEnd w:id="23"/>
    <w:bookmarkStart w:id="24" w:name="externe-peer-review"/>
    <w:p>
      <w:pPr>
        <w:pStyle w:val="Heading3"/>
      </w:pPr>
      <w:r>
        <w:t xml:space="preserve">5.6.4 Externe peer-review</w:t>
      </w:r>
    </w:p>
    <w:p>
      <w:pPr>
        <w:pStyle w:val="FirstParagraph"/>
      </w:pPr>
      <w:r>
        <w:t xml:space="preserve">Voor de definitieve versie van dit rapport is een externe peer-review voorzien door lector Harald Pol (Hanzehogeschool Groningen) en — bij externe publicatie — door de tijdschriftredactie. Deze externe blik functioneert als laatste validiteitscheck op zowel methodologische scherpte als inhoudelijke claims.</w:t>
      </w:r>
    </w:p>
    <w:bookmarkEnd w:id="24"/>
    <w:bookmarkEnd w:id="25"/>
    <w:bookmarkStart w:id="26" w:name="beperkingen-van-de-gekozen-aanpak"/>
    <w:p>
      <w:pPr>
        <w:pStyle w:val="Heading2"/>
      </w:pPr>
      <w:r>
        <w:t xml:space="preserve">5.7 Beperkingen van de gekozen aanpak</w:t>
      </w:r>
    </w:p>
    <w:p>
      <w:pPr>
        <w:pStyle w:val="FirstParagraph"/>
      </w:pPr>
      <w:r>
        <w:t xml:space="preserve">De methodologische keuzes hebben drie te benoemen beperkingen: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Eén opleiding als onderzoekssetting</w:t>
      </w:r>
      <w:r>
        <w:t xml:space="preserve"> </w:t>
      </w:r>
      <w:r>
        <w:t xml:space="preserve">beperkt de externe validiteit. De ontwerpkennis die in hoofdstuk 11 wordt geformuleerd, is</w:t>
      </w:r>
      <w:r>
        <w:t xml:space="preserve"> </w:t>
      </w:r>
      <w:r>
        <w:rPr>
          <w:i/>
          <w:iCs/>
        </w:rPr>
        <w:t xml:space="preserve">theorie van middel-niveau</w:t>
      </w:r>
      <w:r>
        <w:t xml:space="preserve"> </w:t>
      </w:r>
      <w:r>
        <w:t xml:space="preserve">(Plomp, 2013) en behoeft validatie in andere contexten voor bredere generalisatie.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Auteur is tegelijk ontwerper, ontwikkelaar en onderzoeker</w:t>
      </w:r>
      <w:r>
        <w:t xml:space="preserve"> </w:t>
      </w:r>
      <w:r>
        <w:t xml:space="preserve">— een drievoudige rol die in DBR vrijwel onvermijdelijk is, maar wel ruimte laat voor blinde vlekken. De mitigaties via transparantie, externe peer-review en member checking zijn besproken in §5.6.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Inzet van AI (Claude Code) bij zowel ontwerp als rapportage</w:t>
      </w:r>
      <w:r>
        <w:t xml:space="preserve"> </w:t>
      </w:r>
      <w:r>
        <w:t xml:space="preserve">is methodologisch te benoemen en wordt in hoofdstuk 14 (reflectie) expliciet verantwoord, in lijn met de richtlijnen uit Coene (2025).</w:t>
      </w:r>
    </w:p>
    <w:p>
      <w:pPr>
        <w:pStyle w:val="FirstParagraph"/>
      </w:pPr>
      <w:r>
        <w:t xml:space="preserve">Deze beperkingen worden niet weggewerkt maar geëxpliciteerd; ze maken integraal deel uit van de academische verantwoording.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nl-N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Hoofdstuk 5 — Methodologie</dc:title>
  <dc:creator>Lex Coene, Hanzehogeschool Groningen, opleiding ORM</dc:creator>
  <dc:language>nl-NL</dc:language>
  <cp:keywords/>
  <dcterms:created xsi:type="dcterms:W3CDTF">2026-05-10T12:48:11Z</dcterms:created>
  <dcterms:modified xsi:type="dcterms:W3CDTF">2026-05-10T12:48:11Z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Mei 2026</vt:lpwstr>
  </property>
  <property fmtid="{D5CDD505-2E9C-101B-9397-08002B2CF9AE}" pid="3" name="subtitle">
    <vt:lpwstr>Onderdeel van: ORM AI Nieuws — Ontwerpgericht onderzoek (DBR), v0.1-concept</vt:lpwstr>
  </property>
</Properties>
</file>