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16 — Bijlagen</w:t>
      </w:r>
    </w:p>
    <w:p>
      <w:pPr>
        <w:pStyle w:val="Subtitle"/>
      </w:pPr>
      <w:r>
        <w:t xml:space="preserve">Onderdeel van: ORM AI Nieuws — Ontwerpgericht onderzoek (DBR), v0.1-concept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17" w:name="bijlagen"/>
    <w:p>
      <w:pPr>
        <w:pStyle w:val="Heading1"/>
      </w:pPr>
      <w:r>
        <w:t xml:space="preserve">16. Bijlagen</w:t>
      </w:r>
    </w:p>
    <w:p>
      <w:pPr>
        <w:pStyle w:val="BlockText"/>
      </w:pPr>
      <w:r>
        <w:rPr>
          <w:b/>
          <w:bCs/>
        </w:rPr>
        <w:t xml:space="preserve">Status v0.1:</w:t>
      </w:r>
      <w:r>
        <w:t xml:space="preserve"> </w:t>
      </w:r>
      <w:r>
        <w:t xml:space="preserve">dit hoofdstuk geeft een overzicht van de geplande bijlagen, hun status en hun bron. Voor v1.0 worden ontbrekende bijlagen aangevuld of verzameld.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Bijlage</w:t>
            </w:r>
          </w:p>
        </w:tc>
        <w:tc>
          <w:tcPr/>
          <w:p>
            <w:pPr>
              <w:pStyle w:val="Compact"/>
            </w:pPr>
            <w:r>
              <w:t xml:space="preserve">Inhoud</w:t>
            </w:r>
          </w:p>
        </w:tc>
        <w:tc>
          <w:tcPr/>
          <w:p>
            <w:pPr>
              <w:pStyle w:val="Compact"/>
            </w:pPr>
            <w:r>
              <w:t xml:space="preserve">Status v0.1</w:t>
            </w:r>
          </w:p>
        </w:tc>
        <w:tc>
          <w:tcPr/>
          <w:p>
            <w:pPr>
              <w:pStyle w:val="Compact"/>
            </w:pPr>
            <w:r>
              <w:t xml:space="preserve">Bron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TAM-vragenlijst voor cyclus 5b feedback-formulier</w:t>
            </w:r>
          </w:p>
        </w:tc>
        <w:tc>
          <w:tcPr/>
          <w:p>
            <w:pPr>
              <w:pStyle w:val="Compact"/>
            </w:pPr>
            <w:r>
              <w:t xml:space="preserve">Gepland — opgesteld in juli 2026</w:t>
            </w:r>
          </w:p>
        </w:tc>
        <w:tc>
          <w:tcPr/>
          <w:p>
            <w:pPr>
              <w:pStyle w:val="Compact"/>
            </w:pPr>
            <w:r>
              <w:t xml:space="preserve">Wordt opgenomen in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Tester-feedback verbatim (geanonimiseerd)</w:t>
            </w:r>
          </w:p>
        </w:tc>
        <w:tc>
          <w:tcPr/>
          <w:p>
            <w:pPr>
              <w:pStyle w:val="Compact"/>
            </w:pPr>
            <w:r>
              <w:t xml:space="preserve">Gepland — verzameld na 1 juli 2026</w:t>
            </w:r>
          </w:p>
        </w:tc>
        <w:tc>
          <w:tcPr/>
          <w:p>
            <w:pPr>
              <w:pStyle w:val="Compact"/>
            </w:pPr>
            <w:r>
              <w:t xml:space="preserve">Wordt opgenomen in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Voorbeelden van ontwerpiteraties (screenshots, code-snippets)</w:t>
            </w:r>
          </w:p>
        </w:tc>
        <w:tc>
          <w:tcPr/>
          <w:p>
            <w:pPr>
              <w:pStyle w:val="Compact"/>
            </w:pPr>
            <w:r>
              <w:t xml:space="preserve">Gedeeltelijk beschikbaar</w:t>
            </w:r>
          </w:p>
        </w:tc>
        <w:tc>
          <w:tcPr/>
          <w:p>
            <w:pPr>
              <w:pStyle w:val="Compact"/>
            </w:pPr>
            <w:r>
              <w:t xml:space="preserve">GitHub-repository en projectlog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Google Form-vragen en antwoordopties</w:t>
            </w:r>
          </w:p>
        </w:tc>
        <w:tc>
          <w:tcPr/>
          <w:p>
            <w:pPr>
              <w:pStyle w:val="Compact"/>
            </w:pPr>
            <w:r>
              <w:t xml:space="preserve">Gepland — opgesteld in juli 2026</w:t>
            </w:r>
          </w:p>
        </w:tc>
        <w:tc>
          <w:tcPr/>
          <w:p>
            <w:pPr>
              <w:pStyle w:val="Compact"/>
            </w:pPr>
            <w:r>
              <w:t xml:space="preserve">Wordt opgenomen in v1.0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Verzamelde gebruiksdata (geaggregeerd, geen persoonsgegevens)</w:t>
            </w:r>
          </w:p>
        </w:tc>
        <w:tc>
          <w:tcPr/>
          <w:p>
            <w:pPr>
              <w:pStyle w:val="Compact"/>
            </w:pPr>
            <w:r>
              <w:t xml:space="preserve">Gepland — beschikbaar na augustus 2026</w:t>
            </w:r>
          </w:p>
        </w:tc>
        <w:tc>
          <w:tcPr/>
          <w:p>
            <w:pPr>
              <w:pStyle w:val="Compact"/>
            </w:pPr>
            <w:r>
              <w:t xml:space="preserve">Server-logging, te ontwerpen aanvulling op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Verstuurde mailcommunicatie (uitnodigingen, brede uitrol)</w:t>
            </w:r>
          </w:p>
        </w:tc>
        <w:tc>
          <w:tcPr/>
          <w:p>
            <w:pPr>
              <w:pStyle w:val="Compact"/>
            </w:pPr>
            <w:r>
              <w:t xml:space="preserve">Beschikbaar</w:t>
            </w:r>
          </w:p>
        </w:tc>
        <w:tc>
          <w:tcPr/>
          <w:p>
            <w:pPr>
              <w:pStyle w:val="Compact"/>
            </w:pPr>
            <w:r>
              <w:t xml:space="preserve">Mail-archief auteur (zie projectlog)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</w:t>
            </w:r>
          </w:p>
        </w:tc>
        <w:tc>
          <w:tcPr/>
          <w:p>
            <w:pPr>
              <w:pStyle w:val="Compact"/>
            </w:pPr>
            <w:r>
              <w:t xml:space="preserve">Handleiding</w:t>
            </w:r>
            <w:r>
              <w:t xml:space="preserve"> </w:t>
            </w:r>
            <w:r>
              <w:rPr>
                <w:i/>
                <w:iCs/>
              </w:rPr>
              <w:t xml:space="preserve">Zeker Toetsen in AI-tijden</w:t>
            </w:r>
            <w:r>
              <w:t xml:space="preserve"> </w:t>
            </w:r>
            <w:r>
              <w:t xml:space="preserve">(Coene, 2025)</w:t>
            </w:r>
          </w:p>
        </w:tc>
        <w:tc>
          <w:tcPr/>
          <w:p>
            <w:pPr>
              <w:pStyle w:val="Compact"/>
            </w:pPr>
            <w:r>
              <w:t xml:space="preserve">Beschikbaar</w:t>
            </w:r>
          </w:p>
        </w:tc>
        <w:tc>
          <w:tcPr/>
          <w:p>
            <w:pPr>
              <w:pStyle w:val="Compact"/>
            </w:pPr>
            <w:r>
              <w:t xml:space="preserve">Eigen werk auteur, gedeeld binnen Hanze 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</w:t>
            </w:r>
          </w:p>
        </w:tc>
        <w:tc>
          <w:tcPr/>
          <w:p>
            <w:pPr>
              <w:pStyle w:val="Compact"/>
            </w:pPr>
            <w:r>
              <w:t xml:space="preserve">Essay</w:t>
            </w:r>
            <w:r>
              <w:t xml:space="preserve"> </w:t>
            </w:r>
            <w:r>
              <w:rPr>
                <w:i/>
                <w:iCs/>
              </w:rPr>
              <w:t xml:space="preserve">AI in het hoger onderwijs: Kansen, risico’s en didactische randvoorwaarden</w:t>
            </w:r>
            <w:r>
              <w:t xml:space="preserve"> </w:t>
            </w:r>
            <w:r>
              <w:t xml:space="preserve">(Coene, 2026)</w:t>
            </w:r>
          </w:p>
        </w:tc>
        <w:tc>
          <w:tcPr/>
          <w:p>
            <w:pPr>
              <w:pStyle w:val="Compact"/>
            </w:pPr>
            <w:r>
              <w:t xml:space="preserve">Beschikbaar</w:t>
            </w:r>
          </w:p>
        </w:tc>
        <w:tc>
          <w:tcPr/>
          <w:p>
            <w:pPr>
              <w:pStyle w:val="Compact"/>
            </w:pPr>
            <w:r>
              <w:t xml:space="preserve">Eigen werk auteur, intern verspreid</w:t>
            </w:r>
          </w:p>
        </w:tc>
      </w:tr>
    </w:tbl>
    <w:bookmarkStart w:id="9" w:name="a.-tam-vragenlijst-gepland"/>
    <w:p>
      <w:pPr>
        <w:pStyle w:val="Heading2"/>
      </w:pPr>
      <w:r>
        <w:t xml:space="preserve">A. TAM-vragenlijst (gepland)</w:t>
      </w:r>
    </w:p>
    <w:p>
      <w:pPr>
        <w:pStyle w:val="FirstParagraph"/>
      </w:pPr>
      <w:r>
        <w:t xml:space="preserve">In te vullen voor v1.0. Voor cyclus 5b wordt een Google Form ingericht met circa 4-5 korte vragen, gebaseerd op het TAM-kader (Davis, 1989). Voorgestelde vragenstructuur is opgenomen in hoofdstuk 10 §10.4.2.</w:t>
      </w:r>
    </w:p>
    <w:p>
      <w:pPr>
        <w:pStyle w:val="BodyText"/>
      </w:pPr>
      <w:r>
        <w:t xml:space="preserve">Voor een latere uitbreiding kan het Form worden aangevuld met klassieke TAM-Likert-items voor PU en PEOU, zodra een grotere N gebruikers beschikbaar is voor structural equation modelling-analyses zoals beschreven door Scherer, Siddiq en Tondeur (2019).</w:t>
      </w:r>
    </w:p>
    <w:bookmarkEnd w:id="9"/>
    <w:bookmarkStart w:id="10" w:name="b.-tester-feedback-verbatim-gepland"/>
    <w:p>
      <w:pPr>
        <w:pStyle w:val="Heading2"/>
      </w:pPr>
      <w:r>
        <w:t xml:space="preserve">B. Tester-feedback verbatim (gepland)</w:t>
      </w:r>
    </w:p>
    <w:p>
      <w:pPr>
        <w:pStyle w:val="FirstParagraph"/>
      </w:pPr>
      <w:r>
        <w:t xml:space="preserve">In te vullen voor v1.0. Geanonimiseerde citaten uit:</w:t>
      </w:r>
      <w:r>
        <w:t xml:space="preserve"> </w:t>
      </w:r>
      <w:r>
        <w:t xml:space="preserve">- Open mail-feedback van cyclus 1 (eind april 2026)</w:t>
      </w:r>
      <w:r>
        <w:t xml:space="preserve"> </w:t>
      </w:r>
      <w:r>
        <w:t xml:space="preserve">- Concrete tester-feedback uit cyclus 3 (</w:t>
      </w:r>
      <w:r>
        <w:t xml:space="preserve">“ORM-tab is te breed”</w:t>
      </w:r>
      <w:r>
        <w:t xml:space="preserve">)</w:t>
      </w:r>
      <w:r>
        <w:t xml:space="preserve"> </w:t>
      </w:r>
      <w:r>
        <w:t xml:space="preserve">- Spontane mail-feedback uit cyclus 5a (mei-juni 2026)</w:t>
      </w:r>
      <w:r>
        <w:t xml:space="preserve"> </w:t>
      </w:r>
      <w:r>
        <w:t xml:space="preserve">- Open antwoorden uit Google Form van cyclus 5b (juli-augustus 2026)</w:t>
      </w:r>
    </w:p>
    <w:bookmarkEnd w:id="10"/>
    <w:bookmarkStart w:id="11" w:name="c.-voorbeelden-van-ontwerpiteraties"/>
    <w:p>
      <w:pPr>
        <w:pStyle w:val="Heading2"/>
      </w:pPr>
      <w:r>
        <w:t xml:space="preserve">C. Voorbeelden van ontwerpiteraties</w:t>
      </w:r>
    </w:p>
    <w:p>
      <w:pPr>
        <w:pStyle w:val="FirstParagraph"/>
      </w:pPr>
      <w:r>
        <w:t xml:space="preserve">Beschikbaar in: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GitHub-repository</w:t>
      </w:r>
      <w:r>
        <w:t xml:space="preserve">: alle commits met datum en beschrijving (</w:t>
      </w:r>
      <w:r>
        <w:rPr>
          <w:rStyle w:val="VerbatimChar"/>
        </w:rPr>
        <w:t xml:space="preserve">https://github.com/lexcoene001-cpu/AI-Nieuws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Projectlog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docs/projectlog.md</w:t>
      </w:r>
      <w:r>
        <w:t xml:space="preserve">) — chronologische beschrijving van alle wijzigingen</w:t>
      </w:r>
    </w:p>
    <w:p>
      <w:pPr>
        <w:pStyle w:val="BodyText"/>
      </w:pPr>
      <w:r>
        <w:t xml:space="preserve">Voor v1.0: selectie van representatieve commits per cyclus, met screenshots vóór/na waar relevant.</w:t>
      </w:r>
    </w:p>
    <w:bookmarkEnd w:id="11"/>
    <w:bookmarkStart w:id="12" w:name="d.-google-form-vragen-gepland"/>
    <w:p>
      <w:pPr>
        <w:pStyle w:val="Heading2"/>
      </w:pPr>
      <w:r>
        <w:t xml:space="preserve">D. Google Form-vragen (gepland)</w:t>
      </w:r>
    </w:p>
    <w:p>
      <w:pPr>
        <w:pStyle w:val="FirstParagraph"/>
      </w:pPr>
      <w:r>
        <w:t xml:space="preserve">In te vullen voor v1.0. Volledige tekst van het Google Form dat in juli 2026 wordt gelanceerd, inclusief antwoordopties, validatieregels en analyseplan.</w:t>
      </w:r>
    </w:p>
    <w:bookmarkEnd w:id="12"/>
    <w:bookmarkStart w:id="13" w:name="e.-verzamelde-gebruiksdata-gepland"/>
    <w:p>
      <w:pPr>
        <w:pStyle w:val="Heading2"/>
      </w:pPr>
      <w:r>
        <w:t xml:space="preserve">E. Verzamelde gebruiksdata (gepland)</w:t>
      </w:r>
    </w:p>
    <w:p>
      <w:pPr>
        <w:pStyle w:val="FirstParagraph"/>
      </w:pPr>
      <w:r>
        <w:t xml:space="preserve">In te vullen voor v1.0. Vereist een lichte uitbreiding van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met geaggregeerde page-view-tellingen per tab, per dag. Deze logging registreert geen IP-adressen of identificeerbare paths, conform de ethische overwegingen in hoofdstuk 5 §5.5.</w:t>
      </w:r>
    </w:p>
    <w:p>
      <w:pPr>
        <w:pStyle w:val="BodyText"/>
      </w:pPr>
      <w:r>
        <w:t xml:space="preserve">Te rapporteren in v1.0:</w:t>
      </w:r>
      <w:r>
        <w:t xml:space="preserve"> </w:t>
      </w:r>
      <w:r>
        <w:t xml:space="preserve">- Aantal unieke bezoeken per week (geaggregeerd)</w:t>
      </w:r>
      <w:r>
        <w:t xml:space="preserve"> </w:t>
      </w:r>
      <w:r>
        <w:t xml:space="preserve">- Frequentieverdeling per tab</w:t>
      </w:r>
      <w:r>
        <w:t xml:space="preserve"> </w:t>
      </w:r>
      <w:r>
        <w:t xml:space="preserve">- Retentiepatroon (hoeveel bezoekers komen meer dan eens terug)</w:t>
      </w:r>
    </w:p>
    <w:bookmarkEnd w:id="13"/>
    <w:bookmarkStart w:id="14" w:name="f.-verstuurde-mailcommunicatie"/>
    <w:p>
      <w:pPr>
        <w:pStyle w:val="Heading2"/>
      </w:pPr>
      <w:r>
        <w:t xml:space="preserve">F. Verstuurde mailcommunicatie</w:t>
      </w:r>
    </w:p>
    <w:p>
      <w:pPr>
        <w:pStyle w:val="FirstParagraph"/>
      </w:pPr>
      <w:r>
        <w:t xml:space="preserve">Beschikbaar in mail-archief auteur. Geanonimiseerde versie kan voor v1.0 worden opgenomen indien gewenst voor externe publicatie. Concreet:</w:t>
      </w:r>
      <w:r>
        <w:t xml:space="preserve"> </w:t>
      </w:r>
      <w:r>
        <w:t xml:space="preserve">- Eerste tester-uitnodiging (27 april 2026)</w:t>
      </w:r>
      <w:r>
        <w:t xml:space="preserve"> </w:t>
      </w:r>
      <w:r>
        <w:t xml:space="preserve">- Brede uitrol-mail aan vakverantwoordelijken (10 mei 2026), gecombineerd met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 </w:t>
      </w:r>
      <w:r>
        <w:t xml:space="preserve">- Geplande tweede mail (juli/augustus 2026): introductie feedback-knop</w:t>
      </w:r>
    </w:p>
    <w:bookmarkEnd w:id="14"/>
    <w:bookmarkStart w:id="15" w:name="X47932e66e20d8cfaa3768fdb18d885a013395c5"/>
    <w:p>
      <w:pPr>
        <w:pStyle w:val="Heading2"/>
      </w:pPr>
      <w:r>
        <w:t xml:space="preserve">G1. Handleiding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 </w:t>
      </w:r>
      <w:r>
        <w:t xml:space="preserve">(Coene, 2025)</w:t>
      </w:r>
    </w:p>
    <w:p>
      <w:pPr>
        <w:pStyle w:val="FirstParagraph"/>
      </w:pPr>
      <w:r>
        <w:t xml:space="preserve">Beschikbaar als separate PDF/Word. Deze handleiding is een paralleldocument binnen het AI-portfolio van de auteur en wordt in dit rapport meermaals gerefereerd in verband met:</w:t>
      </w:r>
      <w:r>
        <w:t xml:space="preserve"> </w:t>
      </w:r>
      <w:r>
        <w:t xml:space="preserve">- AI-verantwoordingsrichtlijnen voor verantwoorde AI-inzet (zie hoofdstuk 14 §14.2)</w:t>
      </w:r>
      <w:r>
        <w:t xml:space="preserve"> </w:t>
      </w:r>
      <w:r>
        <w:t xml:space="preserve">- Gecombineerde uitrol met de tool (zie hoofdstuk 10 §10.3.1)</w:t>
      </w:r>
      <w:r>
        <w:t xml:space="preserve"> </w:t>
      </w:r>
      <w:r>
        <w:t xml:space="preserve">- Toetsing-component van bredere AI-werk binnen ORM (zie hoofdstuk 13 §13.2)</w:t>
      </w:r>
    </w:p>
    <w:p>
      <w:pPr>
        <w:pStyle w:val="BodyText"/>
      </w:pPr>
      <w:r>
        <w:t xml:space="preserve">Voor extern publiceerbare versie van het rapport: opnemen na bevestiging dat publicatierechten dit toestaan.</w:t>
      </w:r>
    </w:p>
    <w:bookmarkEnd w:id="15"/>
    <w:bookmarkStart w:id="16" w:name="X1768fe8636a61decf1b9464ac85158d1a01b8ce"/>
    <w:p>
      <w:pPr>
        <w:pStyle w:val="Heading2"/>
      </w:pPr>
      <w:r>
        <w:t xml:space="preserve">G2. Essay</w:t>
      </w:r>
      <w:r>
        <w:t xml:space="preserve"> </w:t>
      </w:r>
      <w:r>
        <w:rPr>
          <w:i/>
          <w:iCs/>
        </w:rPr>
        <w:t xml:space="preserve">AI in het hoger onderwijs</w:t>
      </w:r>
      <w:r>
        <w:t xml:space="preserve"> </w:t>
      </w:r>
      <w:r>
        <w:t xml:space="preserve">(Coene, 2026)</w:t>
      </w:r>
    </w:p>
    <w:p>
      <w:pPr>
        <w:pStyle w:val="FirstParagraph"/>
      </w:pPr>
      <w:r>
        <w:t xml:space="preserve">Beschikbaar als separate PDF. Dit essay is binnen Hanze breed gedeeld en is één keer extern verspreid. Het bevat het bredere theoretische kader waarop dit onderzoek voortbouwt, met name:</w:t>
      </w:r>
      <w:r>
        <w:t xml:space="preserve"> </w:t>
      </w:r>
      <w:r>
        <w:t xml:space="preserve">- De studeercrisis-context (zie hoofdstuk 2 §2.2)</w:t>
      </w:r>
      <w:r>
        <w:t xml:space="preserve"> </w:t>
      </w:r>
      <w:r>
        <w:t xml:space="preserve">- Het scaffold-perspectief op AI in het hoger onderwijs (zie hoofdstuk 3 §3.3.2)</w:t>
      </w:r>
      <w:r>
        <w:t xml:space="preserve"> </w:t>
      </w:r>
      <w:r>
        <w:t xml:space="preserve">- Didactische randvoorwaarden voor verantwoorde AI-integratie</w:t>
      </w:r>
    </w:p>
    <w:p>
      <w:pPr>
        <w:pStyle w:val="BodyText"/>
      </w:pPr>
      <w:r>
        <w:t xml:space="preserve">Bronnenlijst van dit essay is gedeeltelijk overgenomen in hoofdstuk 15 (referenties) van dit rapport.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16 — Bijlagen</dc:title>
  <dc:creator>Lex Coene, Hanzehogeschool Groningen, opleiding ORM</dc:creator>
  <dc:language>nl-NL</dc:language>
  <cp:keywords/>
  <dcterms:created xsi:type="dcterms:W3CDTF">2026-05-10T13:50:55Z</dcterms:created>
  <dcterms:modified xsi:type="dcterms:W3CDTF">2026-05-10T13:50:55Z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v0.1-concept</vt:lpwstr>
  </property>
</Properties>
</file>