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Hoofdstuk 11 — Cyclus 5: Brede uitrol en gestructureerde feedback (mei-augustus 2026)</w:t>
      </w:r>
    </w:p>
    <w:p>
      <w:pPr>
        <w:pStyle w:val="Subtitle"/>
      </w:pPr>
      <w:r>
        <w:t xml:space="preserve">Onderdeel van: ORM AI Nieuws — Ontwerpgericht onderzoek (DBR), v0.2-concept</w:t>
      </w:r>
    </w:p>
    <w:p>
      <w:pPr>
        <w:pStyle w:val="Author"/>
      </w:pPr>
      <w:r>
        <w:t xml:space="preserve">Lex Coene, Hanzehogeschool Groningen, opleiding ORM</w:t>
      </w:r>
    </w:p>
    <w:p>
      <w:pPr>
        <w:pStyle w:val="Date"/>
      </w:pPr>
      <w:r>
        <w:t xml:space="preserve">Mei 2026 (in uitvoering)</w:t>
      </w:r>
    </w:p>
    <w:bookmarkStart w:id="21" w:name="X7dae01df585c632f488b8c770abad331828f175"/>
    <w:p>
      <w:pPr>
        <w:pStyle w:val="Heading1"/>
      </w:pPr>
      <w:r>
        <w:t xml:space="preserve">11. Cyclus 5 — Brede uitrol en gestructureerde feedback (mei-augustus 2026)</w:t>
      </w:r>
    </w:p>
    <w:p>
      <w:pPr>
        <w:pStyle w:val="BlockText"/>
      </w:pPr>
      <w:r>
        <w:rPr>
          <w:b/>
          <w:bCs/>
        </w:rPr>
        <w:t xml:space="preserve">Status:</w:t>
      </w:r>
      <w:r>
        <w:t xml:space="preserve"> </w:t>
      </w:r>
      <w:r>
        <w:t xml:space="preserve">Deze cyclus is op het moment van schrijven (mei 2026) in uitvoering. Het hoofdstuk wordt aangevuld na het verstrijken van de feedback-deadline van 1 juli 2026 en de inrichting van het feedback-formulier in juli/augustus.</w:t>
      </w:r>
    </w:p>
    <w:bookmarkStart w:id="9" w:name="X0c3a6497c1fee9d0aac603a6f7b52dcaec66a43"/>
    <w:p>
      <w:pPr>
        <w:pStyle w:val="Heading2"/>
      </w:pPr>
      <w:r>
        <w:t xml:space="preserve">11.1 Aanleiding: van prototype-validatie naar implementatie-onderzoek</w:t>
      </w:r>
    </w:p>
    <w:p>
      <w:pPr>
        <w:pStyle w:val="FirstParagraph"/>
      </w:pPr>
      <w:r>
        <w:t xml:space="preserve">De cycli 1 tot en met 4 (april–mei 2026) hadden een ontwerpdoel: een functioneel prototype dat door een kleine groep beta-testers als waardevol werd ervaren. Bij het verlaten van die ronde verschuift het onderzoek-doel: van</w:t>
      </w:r>
      <w:r>
        <w:t xml:space="preserve"> </w:t>
      </w:r>
      <w:r>
        <w:rPr>
          <w:i/>
          <w:iCs/>
        </w:rPr>
        <w:t xml:space="preserve">werkt het ontwerp?</w:t>
      </w:r>
      <w:r>
        <w:t xml:space="preserve"> </w:t>
      </w:r>
      <w:r>
        <w:t xml:space="preserve">naar</w:t>
      </w:r>
      <w:r>
        <w:t xml:space="preserve"> </w:t>
      </w:r>
      <w:r>
        <w:rPr>
          <w:i/>
          <w:iCs/>
        </w:rPr>
        <w:t xml:space="preserve">wordt het ontwerp gebruikt en op welke wijze?</w:t>
      </w:r>
      <w:r>
        <w:t xml:space="preserve"> </w:t>
      </w:r>
      <w:r>
        <w:t xml:space="preserve">— een verschuiving die in DBR karakteristiek is voor de overgang naar latere implementatie-cycli (McKenney &amp; Reeves, 2018, hoofdstuk 8).</w:t>
      </w:r>
    </w:p>
    <w:p>
      <w:pPr>
        <w:pStyle w:val="BodyText"/>
      </w:pPr>
      <w:r>
        <w:t xml:space="preserve">Op 10 mei 2026 is de tool breed aangekondigd binnen de opleiding ORM. De aankondiging is bewust gecombineerd met een ander AI-gerelateerd verzoek aan dezelfde doelgroep van vakverantwoordelijken: het toepassen van de handleiding</w:t>
      </w:r>
      <w:r>
        <w:t xml:space="preserve"> </w:t>
      </w:r>
      <w:r>
        <w:rPr>
          <w:i/>
          <w:iCs/>
        </w:rPr>
        <w:t xml:space="preserve">Zeker Toetsen in AI-tijden</w:t>
      </w:r>
      <w:r>
        <w:t xml:space="preserve"> </w:t>
      </w:r>
      <w:r>
        <w:t xml:space="preserve">(Coene, 2025). Deze combinatie weerspiegelt het bredere AI-portfolio van de opleiding: AI-Nieuws ondersteunt docenten in het bijhouden van ontwikkelingen, terwijl de toetsing-handleiding hen ondersteunt in het herontwerpen van toetsen — beide initiatieven gaan over docent-AI-geletterdheid en versterken elkaar.</w:t>
      </w:r>
    </w:p>
    <w:bookmarkEnd w:id="9"/>
    <w:bookmarkStart w:id="10" w:name="Xce5aeffbb63828d1e5c244ba4ef4786c038538b"/>
    <w:p>
      <w:pPr>
        <w:pStyle w:val="Heading2"/>
      </w:pPr>
      <w:r>
        <w:t xml:space="preserve">11.2 Bewuste keuze: nog geen feedback-knop in het dashboard</w:t>
      </w:r>
    </w:p>
    <w:p>
      <w:pPr>
        <w:pStyle w:val="FirstParagraph"/>
      </w:pPr>
      <w:r>
        <w:t xml:space="preserve">Voorafgaand aan de brede uitrol was een feedback-knop in het dashboard overwogen. Twee argumenten leidden tot het besluit deze nog niet in te bouwen voor cyclus 5: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Eerst gebruikservaring laten ontstaan.</w:t>
      </w:r>
      <w:r>
        <w:t xml:space="preserve"> </w:t>
      </w:r>
      <w:r>
        <w:t xml:space="preserve">Feedback in week één is een andere kwaliteit van feedback dan feedback in week zes. Door de feedback-uitvraag bewust uit te stellen tot juli/augustus, ontstaat een situatie waarin docenten al meerdere weken met de tool hebben gewerkt en hun feedback gebaseerd is op echte gebruikspatronen, niet op eerste-indrukken.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Twee aparte boodschappen in twee aparte mails.</w:t>
      </w:r>
      <w:r>
        <w:t xml:space="preserve"> </w:t>
      </w:r>
      <w:r>
        <w:t xml:space="preserve">Een uitnodigings-mail combineren met een feedback-vraag verlaagt de aandacht voor beide. Door eerst alleen kennismaking te vragen en later pas feedback, krijgt elk thema zijn eigen aandacht — een toepassing van het marketing-principe van</w:t>
      </w:r>
      <w:r>
        <w:t xml:space="preserve"> </w:t>
      </w:r>
      <w:r>
        <w:rPr>
          <w:i/>
          <w:iCs/>
        </w:rPr>
        <w:t xml:space="preserve">focused calls to action</w:t>
      </w:r>
      <w:r>
        <w:t xml:space="preserve">.</w:t>
      </w:r>
    </w:p>
    <w:p>
      <w:pPr>
        <w:pStyle w:val="FirstParagraph"/>
      </w:pPr>
      <w:r>
        <w:t xml:space="preserve">Deze keuze betekent dat cyclus 5 in twee subfasen valt: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Cyclus 5a (mei-juni 2026):</w:t>
      </w:r>
      <w:r>
        <w:t xml:space="preserve"> </w:t>
      </w:r>
      <w:r>
        <w:t xml:space="preserve">brede aankondiging, vrij gebruik, eventuele spontane feedback via mail.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Cyclus 5b (juli-augustus 2026):</w:t>
      </w:r>
      <w:r>
        <w:t xml:space="preserve"> </w:t>
      </w:r>
      <w:r>
        <w:t xml:space="preserve">introductie van een gestructureerd feedback-instrument in het dashboard zelf.</w:t>
      </w:r>
    </w:p>
    <w:bookmarkEnd w:id="10"/>
    <w:bookmarkStart w:id="14" w:name="X0d1c4ed330da8ddbf229273695106d5b633eb02"/>
    <w:p>
      <w:pPr>
        <w:pStyle w:val="Heading2"/>
      </w:pPr>
      <w:r>
        <w:t xml:space="preserve">11.3 Cyclus 5a — Brede aankondiging en spontane feedback</w:t>
      </w:r>
    </w:p>
    <w:bookmarkStart w:id="11" w:name="aankondiging"/>
    <w:p>
      <w:pPr>
        <w:pStyle w:val="Heading3"/>
      </w:pPr>
      <w:r>
        <w:t xml:space="preserve">11.3.1 Aankondiging</w:t>
      </w:r>
    </w:p>
    <w:p>
      <w:pPr>
        <w:pStyle w:val="FirstParagraph"/>
      </w:pPr>
      <w:r>
        <w:t xml:space="preserve">De brede uitrol-mail (10 mei 2026) is gecombineerd opgesteld door de auteur en collega-docent Ties de Boer. De mail bevat: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Een verzoek tot toepassing van de toetsing-handleiding</w:t>
      </w:r>
      <w:r>
        <w:t xml:space="preserve"> </w:t>
      </w:r>
      <w:r>
        <w:t xml:space="preserve">met deadline reactie 1 juli (zie Coene, 2025).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Een introductie van het ORM AI Nieuws-dashboard</w:t>
      </w:r>
      <w:r>
        <w:t xml:space="preserve"> </w:t>
      </w:r>
      <w:r>
        <w:t xml:space="preserve">met installatie-instructies voor PWA-installatie op iPhone en Android.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Geen expliciete feedback-vraag</w:t>
      </w:r>
      <w:r>
        <w:t xml:space="preserve"> </w:t>
      </w:r>
      <w:r>
        <w:t xml:space="preserve">voor de tool — deze komt in cyclus 5b.</w:t>
      </w:r>
    </w:p>
    <w:p>
      <w:pPr>
        <w:pStyle w:val="FirstParagraph"/>
      </w:pPr>
      <w:r>
        <w:t xml:space="preserve">De mail is verstuurd via de Hanze-mail-omgeving naar alle vakverantwoordelijken binnen de opleiding ORM.</w:t>
      </w:r>
    </w:p>
    <w:bookmarkEnd w:id="11"/>
    <w:bookmarkStart w:id="12" w:name="verwachte-data-bronnen"/>
    <w:p>
      <w:pPr>
        <w:pStyle w:val="Heading3"/>
      </w:pPr>
      <w:r>
        <w:t xml:space="preserve">11.3.2 Verwachte data-bronnen</w:t>
      </w:r>
    </w:p>
    <w:p>
      <w:pPr>
        <w:pStyle w:val="FirstParagraph"/>
      </w:pPr>
      <w:r>
        <w:t xml:space="preserve">In deze fase worden drie soorten data verwacht en (deels) verzameld: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Spontane mail-feedback</w:t>
      </w:r>
      <w:r>
        <w:t xml:space="preserve"> </w:t>
      </w:r>
      <w:r>
        <w:t xml:space="preserve">van gebruikers — kwalitatief, ongelimiteerd. Verwacht volume: laag (gemiddeld 1-3 mails per week op basis van eerdere fase).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Server-side gebruiksdata</w:t>
      </w:r>
      <w:r>
        <w:t xml:space="preserve"> </w:t>
      </w:r>
      <w:r>
        <w:t xml:space="preserve">— page views, fetch-requests per tab, frequentie per dag.</w:t>
      </w:r>
      <w:r>
        <w:t xml:space="preserve"> </w:t>
      </w:r>
      <w:r>
        <w:rPr>
          <w:i/>
          <w:iCs/>
        </w:rPr>
        <w:t xml:space="preserve">Te ontwikkelen aanpassing nodig in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server.js</w:t>
      </w:r>
      <w:r>
        <w:rPr>
          <w:i/>
          <w:iCs/>
        </w:rPr>
        <w:t xml:space="preserve"> </w:t>
      </w:r>
      <w:r>
        <w:rPr>
          <w:i/>
          <w:iCs/>
        </w:rPr>
        <w:t xml:space="preserve">voor lichte logging zonder persoonsgegevens.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Reacties op de toetsing-handleiding</w:t>
      </w:r>
      <w:r>
        <w:t xml:space="preserve"> </w:t>
      </w:r>
      <w:r>
        <w:t xml:space="preserve">— hoewel inhoudelijk anders, levert deze tweede stroom indirect inzicht in welke vakverantwoordelijken AI-Nieuws openen (gezien de gecombineerde mail).</w:t>
      </w:r>
    </w:p>
    <w:bookmarkEnd w:id="12"/>
    <w:bookmarkStart w:id="13" w:name="X88faa8dc4b89ae00afb71b418d36c8fcccd8247"/>
    <w:p>
      <w:pPr>
        <w:pStyle w:val="Heading3"/>
      </w:pPr>
      <w:r>
        <w:t xml:space="preserve">11.3.3 Te documenteren in dit hoofdstuk (na 1 juli)</w:t>
      </w:r>
    </w:p>
    <w:p>
      <w:pPr>
        <w:pStyle w:val="Compact"/>
        <w:numPr>
          <w:ilvl w:val="0"/>
          <w:numId w:val="1005"/>
        </w:numPr>
      </w:pPr>
      <w:r>
        <w:t xml:space="preserve">Aantal verzonden mails en aantal reacties</w:t>
      </w:r>
    </w:p>
    <w:p>
      <w:pPr>
        <w:pStyle w:val="Compact"/>
        <w:numPr>
          <w:ilvl w:val="0"/>
          <w:numId w:val="1005"/>
        </w:numPr>
      </w:pPr>
      <w:r>
        <w:t xml:space="preserve">Inhoudelijke patronen in de spontane feedback</w:t>
      </w:r>
    </w:p>
    <w:p>
      <w:pPr>
        <w:pStyle w:val="Compact"/>
        <w:numPr>
          <w:ilvl w:val="0"/>
          <w:numId w:val="1005"/>
        </w:numPr>
      </w:pPr>
      <w:r>
        <w:t xml:space="preserve">Eerste gebruiksdata-observaties</w:t>
      </w:r>
    </w:p>
    <w:bookmarkEnd w:id="13"/>
    <w:bookmarkEnd w:id="14"/>
    <w:bookmarkStart w:id="18" w:name="Xb3f3a97f63f62a515a65f813b1331e975b0f94e"/>
    <w:p>
      <w:pPr>
        <w:pStyle w:val="Heading2"/>
      </w:pPr>
      <w:r>
        <w:t xml:space="preserve">11.4 Cyclus 5b — Gestructureerd feedback-instrument</w:t>
      </w:r>
    </w:p>
    <w:bookmarkStart w:id="15" w:name="ontwerp-van-het-feedback-instrument"/>
    <w:p>
      <w:pPr>
        <w:pStyle w:val="Heading3"/>
      </w:pPr>
      <w:r>
        <w:t xml:space="preserve">11.4.1 Ontwerp van het feedback-instrument</w:t>
      </w:r>
    </w:p>
    <w:p>
      <w:pPr>
        <w:pStyle w:val="FirstParagraph"/>
      </w:pPr>
      <w:r>
        <w:t xml:space="preserve">Voor de tweede subfase wordt een feedback-knop toegevoegd in de header van het dashboard, naast de bestaande knoppen</w:t>
      </w:r>
      <w:r>
        <w:t xml:space="preserve"> </w:t>
      </w:r>
      <w:r>
        <w:rPr>
          <w:i/>
          <w:iCs/>
        </w:rPr>
        <w:t xml:space="preserve">⭐ Opgeslagen</w:t>
      </w:r>
      <w:r>
        <w:t xml:space="preserve"> </w:t>
      </w:r>
      <w:r>
        <w:t xml:space="preserve">en</w:t>
      </w:r>
      <w:r>
        <w:t xml:space="preserve"> </w:t>
      </w:r>
      <w:r>
        <w:rPr>
          <w:i/>
          <w:iCs/>
        </w:rPr>
        <w:t xml:space="preserve">⚙️ Instellingen</w:t>
      </w:r>
      <w:r>
        <w:t xml:space="preserve">. Bij klikken opent in een nieuwe tab een Google Form met circa 4-5 korte vragen.</w:t>
      </w:r>
    </w:p>
    <w:p>
      <w:pPr>
        <w:pStyle w:val="BodyText"/>
      </w:pPr>
      <w:r>
        <w:t xml:space="preserve">De keuze voor een Google Form, en niet een ingebouwd feedback-formulier of een</w:t>
      </w:r>
      <w:r>
        <w:t xml:space="preserve"> </w:t>
      </w:r>
      <w:r>
        <w:rPr>
          <w:rStyle w:val="VerbatimChar"/>
        </w:rPr>
        <w:t xml:space="preserve">mailto:</w:t>
      </w:r>
      <w:r>
        <w:t xml:space="preserve">-deeplink, heeft drie redenen: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Compatibiliteit met de Hanze-omgeving.</w:t>
      </w:r>
      <w:r>
        <w:t xml:space="preserve"> </w:t>
      </w:r>
      <w:r>
        <w:t xml:space="preserve">Zoals in cyclus 2 is vastgesteld, blokkeert de Hanze-Outlook-omgeving</w:t>
      </w:r>
      <w:r>
        <w:t xml:space="preserve"> </w:t>
      </w:r>
      <w:r>
        <w:rPr>
          <w:rStyle w:val="VerbatimChar"/>
        </w:rPr>
        <w:t xml:space="preserve">mailto:</w:t>
      </w:r>
      <w:r>
        <w:t xml:space="preserve">-deeplinks (zie hoofdstuk 7 §7.4.1). Een externe Form-link werkt op alle platforms en in alle browser-omgevingen.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Geen backend-aanpassing nodig.</w:t>
      </w:r>
      <w:r>
        <w:t xml:space="preserve"> </w:t>
      </w:r>
      <w:r>
        <w:t xml:space="preserve">Een Google Form heeft eigen opslag, eigen analytics en eigen exportmogelijkheden. Inbouwen in de eigen</w:t>
      </w:r>
      <w:r>
        <w:t xml:space="preserve"> </w:t>
      </w:r>
      <w:r>
        <w:rPr>
          <w:rStyle w:val="VerbatimChar"/>
        </w:rPr>
        <w:t xml:space="preserve">server.js</w:t>
      </w:r>
      <w:r>
        <w:t xml:space="preserve"> </w:t>
      </w:r>
      <w:r>
        <w:t xml:space="preserve">zou een database, authenticatie en privacy-overwegingen toevoegen — zonder navenant beter resultaat.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Alle responses op één plek.</w:t>
      </w:r>
      <w:r>
        <w:t xml:space="preserve"> </w:t>
      </w:r>
      <w:r>
        <w:t xml:space="preserve">Voor de auteur als ontwerper-onderzoeker is het voordeel dat alle reacties in één Google-spreadsheet binnenkomen — directe analyse, geen verzameling-werk.</w:t>
      </w:r>
    </w:p>
    <w:bookmarkEnd w:id="15"/>
    <w:bookmarkStart w:id="16" w:name="voorgestelde-vragenstructuur"/>
    <w:p>
      <w:pPr>
        <w:pStyle w:val="Heading3"/>
      </w:pPr>
      <w:r>
        <w:t xml:space="preserve">11.4.2 Voorgestelde vragenstructuur</w:t>
      </w:r>
    </w:p>
    <w:p>
      <w:pPr>
        <w:pStyle w:val="FirstParagraph"/>
      </w:pPr>
      <w:r>
        <w:t xml:space="preserve">De vragen zijn ontworpen op basis van het TAM-kader (Davis, 1989) en aansluitend bij de TAM-simulatie van cyclus 2: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Welke tab gebruik je het meest?</w:t>
      </w:r>
      <w:r>
        <w:t xml:space="preserve"> </w:t>
      </w:r>
      <w:r>
        <w:t xml:space="preserve">(multiple choice: ORM / Algemeen / Onderwijs / Vakgebied / Opgeslagen) —</w:t>
      </w:r>
      <w:r>
        <w:t xml:space="preserve"> </w:t>
      </w:r>
      <w:r>
        <w:rPr>
          <w:i/>
          <w:iCs/>
        </w:rPr>
        <w:t xml:space="preserve">Inzicht in gebruikspatronen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Wat werkt goed voor je?</w:t>
      </w:r>
      <w:r>
        <w:t xml:space="preserve"> </w:t>
      </w:r>
      <w:r>
        <w:t xml:space="preserve">(open, kort) —</w:t>
      </w:r>
      <w:r>
        <w:t xml:space="preserve"> </w:t>
      </w:r>
      <w:r>
        <w:rPr>
          <w:i/>
          <w:iCs/>
        </w:rPr>
        <w:t xml:space="preserve">Perceived usefulness, kwalitatief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Wat mis je nog?</w:t>
      </w:r>
      <w:r>
        <w:t xml:space="preserve"> </w:t>
      </w:r>
      <w:r>
        <w:t xml:space="preserve">(open, kort) —</w:t>
      </w:r>
      <w:r>
        <w:t xml:space="preserve"> </w:t>
      </w:r>
      <w:r>
        <w:rPr>
          <w:i/>
          <w:iCs/>
        </w:rPr>
        <w:t xml:space="preserve">Gap-analyse voor verdere iteratie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Hoe vaak verwacht je het te gebruiken?</w:t>
      </w:r>
      <w:r>
        <w:t xml:space="preserve"> </w:t>
      </w:r>
      <w:r>
        <w:t xml:space="preserve">(multiple choice: dagelijks / wekelijks / af en toe) —</w:t>
      </w:r>
      <w:r>
        <w:t xml:space="preserve"> </w:t>
      </w:r>
      <w:r>
        <w:rPr>
          <w:i/>
          <w:iCs/>
        </w:rPr>
        <w:t xml:space="preserve">Intention to use proxy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Mogen we contact opnemen voor doorvragen?</w:t>
      </w:r>
      <w:r>
        <w:t xml:space="preserve"> </w:t>
      </w:r>
      <w:r>
        <w:t xml:space="preserve">(optioneel: ja/nee + e-mail) —</w:t>
      </w:r>
      <w:r>
        <w:t xml:space="preserve"> </w:t>
      </w:r>
      <w:r>
        <w:rPr>
          <w:i/>
          <w:iCs/>
        </w:rPr>
        <w:t xml:space="preserve">Member checking voor latere kwalitatieve interviews</w:t>
      </w:r>
    </w:p>
    <w:p>
      <w:pPr>
        <w:pStyle w:val="FirstParagraph"/>
      </w:pPr>
      <w:r>
        <w:t xml:space="preserve">In een latere uitbreiding (mogelijk cyclus 6) kan het Form worden aangevuld met klassieke TAM-Likert-items voor PU en PEOU, zodra een grotere N gebruikers beschikbaar is.</w:t>
      </w:r>
    </w:p>
    <w:bookmarkEnd w:id="16"/>
    <w:bookmarkStart w:id="17" w:name="X69275c40951ed0079c2dc0120fbb28cc43f4457"/>
    <w:p>
      <w:pPr>
        <w:pStyle w:val="Heading3"/>
      </w:pPr>
      <w:r>
        <w:t xml:space="preserve">11.4.3 Te documenteren in dit hoofdstuk (na augustus)</w:t>
      </w:r>
    </w:p>
    <w:p>
      <w:pPr>
        <w:pStyle w:val="Compact"/>
        <w:numPr>
          <w:ilvl w:val="0"/>
          <w:numId w:val="1008"/>
        </w:numPr>
      </w:pPr>
      <w:r>
        <w:t xml:space="preserve">Datum en wijze van introductie van het feedback-instrument</w:t>
      </w:r>
    </w:p>
    <w:p>
      <w:pPr>
        <w:pStyle w:val="Compact"/>
        <w:numPr>
          <w:ilvl w:val="0"/>
          <w:numId w:val="1008"/>
        </w:numPr>
      </w:pPr>
      <w:r>
        <w:t xml:space="preserve">Aantal responses</w:t>
      </w:r>
    </w:p>
    <w:p>
      <w:pPr>
        <w:pStyle w:val="Compact"/>
        <w:numPr>
          <w:ilvl w:val="0"/>
          <w:numId w:val="1008"/>
        </w:numPr>
      </w:pPr>
      <w:r>
        <w:t xml:space="preserve">Kwantitatieve resultaten per vraag</w:t>
      </w:r>
    </w:p>
    <w:p>
      <w:pPr>
        <w:pStyle w:val="Compact"/>
        <w:numPr>
          <w:ilvl w:val="0"/>
          <w:numId w:val="1008"/>
        </w:numPr>
      </w:pPr>
      <w:r>
        <w:t xml:space="preserve">Kwalitatieve thematische analyse van open antwoorden</w:t>
      </w:r>
    </w:p>
    <w:p>
      <w:pPr>
        <w:pStyle w:val="Compact"/>
        <w:numPr>
          <w:ilvl w:val="0"/>
          <w:numId w:val="1008"/>
        </w:numPr>
      </w:pPr>
      <w:r>
        <w:t xml:space="preserve">Eventuele follow-up gesprekken (member checking)</w:t>
      </w:r>
    </w:p>
    <w:bookmarkEnd w:id="17"/>
    <w:bookmarkEnd w:id="18"/>
    <w:bookmarkStart w:id="19" w:name="X3f1b74a4e567300dbb2a2d81b32902bbe72bdc3"/>
    <w:p>
      <w:pPr>
        <w:pStyle w:val="Heading2"/>
      </w:pPr>
      <w:r>
        <w:t xml:space="preserve">11.5 Plaats van cyclus 5 binnen het bredere onderzoek</w:t>
      </w:r>
    </w:p>
    <w:p>
      <w:pPr>
        <w:pStyle w:val="FirstParagraph"/>
      </w:pPr>
      <w:r>
        <w:t xml:space="preserve">Cyclus 5 vormt de overgang van</w:t>
      </w:r>
      <w:r>
        <w:t xml:space="preserve"> </w:t>
      </w:r>
      <w:r>
        <w:rPr>
          <w:i/>
          <w:iCs/>
        </w:rPr>
        <w:t xml:space="preserve">prototyping</w:t>
      </w:r>
      <w:r>
        <w:t xml:space="preserve"> </w:t>
      </w:r>
      <w:r>
        <w:t xml:space="preserve">naar</w:t>
      </w:r>
      <w:r>
        <w:t xml:space="preserve"> </w:t>
      </w:r>
      <w:r>
        <w:rPr>
          <w:i/>
          <w:iCs/>
        </w:rPr>
        <w:t xml:space="preserve">implementatie-onderzoek</w:t>
      </w:r>
      <w:r>
        <w:t xml:space="preserve"> </w:t>
      </w:r>
      <w:r>
        <w:t xml:space="preserve">(McKenney &amp; Reeves, 2018). De voorgaande cycli hebben de tool als ontwerp-artefact ontwikkeld; vanaf cyclus 5 wordt de tool een onderzoeksobject in zijn natuurlijke gebruikscontext. Dit verschuift ook het type ontwerpkennis dat naar boven kan komen: niet langer</w:t>
      </w:r>
      <w:r>
        <w:t xml:space="preserve"> </w:t>
      </w:r>
      <w:r>
        <w:t xml:space="preserve">“welke ontwerpkeuze werkt”</w:t>
      </w:r>
      <w:r>
        <w:t xml:space="preserve">, maar</w:t>
      </w:r>
      <w:r>
        <w:t xml:space="preserve"> </w:t>
      </w:r>
      <w:r>
        <w:t xml:space="preserve">“welke ontwerpkeuzes worden door welke gebruikers omarmd of vermeden, en waarom”</w:t>
      </w:r>
      <w:r>
        <w:t xml:space="preserve">.</w:t>
      </w:r>
    </w:p>
    <w:p>
      <w:pPr>
        <w:pStyle w:val="BodyText"/>
      </w:pPr>
      <w:r>
        <w:t xml:space="preserve">Voor het rapport betekent dit dat dit hoofdstuk pas in de definitieve versie volledig kan worden ingevuld. In v0.1 bevat het de opzet, motivatie en verwachtingen; in v1.0 (na september 2026) zullen de feitelijke data, analyses en bevindingen hieraan worden toegevoegd.</w:t>
      </w:r>
    </w:p>
    <w:bookmarkEnd w:id="19"/>
    <w:bookmarkStart w:id="20" w:name="reflectie-tot-dusver"/>
    <w:p>
      <w:pPr>
        <w:pStyle w:val="Heading2"/>
      </w:pPr>
      <w:r>
        <w:t xml:space="preserve">11.6 Reflectie tot dusver</w:t>
      </w:r>
    </w:p>
    <w:p>
      <w:pPr>
        <w:pStyle w:val="FirstParagraph"/>
      </w:pPr>
      <w:r>
        <w:t xml:space="preserve">Drie observaties die ook zonder uitvoeringsdata al methodisch interessant zijn: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Bewuste vertraging van feedback-uitvraag is een ontwerpkeuze, geen verzuim.</w:t>
      </w:r>
      <w:r>
        <w:t xml:space="preserve"> </w:t>
      </w:r>
      <w:r>
        <w:t xml:space="preserve">In standaard product-management-praktijk wordt vaak bij eerste gelegenheid om feedback gevraagd. Voor onderzoek met DBR-doelstellingen is uitstellen tot na opbouw van gebruikservaring methodisch verantwoord — feedback krijgt diepte naarmate gebruik langer is.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Combineren van twee initiatieven in één mail vraagt om scherpe scheiding.</w:t>
      </w:r>
      <w:r>
        <w:t xml:space="preserve"> </w:t>
      </w:r>
      <w:r>
        <w:t xml:space="preserve">De keuze voor twee duidelijk gescheiden secties in de uitrol-mail (toetsing-handleiding vs. dashboard) is een toepassing van de communicatietheorie dat aandacht een schaarste-goed is (Simon, 1971): hoe scherper twee thema’s zijn afgebakend, hoe groter de kans dat beide worden gelezen.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Platform-restricties bepalen ontwerp-paden ook in cyclus 5.</w:t>
      </w:r>
      <w:r>
        <w:t xml:space="preserve"> </w:t>
      </w:r>
      <w:r>
        <w:t xml:space="preserve">De keuze voor een Google Form in plaats van een ingebouwd formulier is een directe consequentie van de eerder ontdekte Hanze-Outlook-blokkade (cyclus 2). Dit bevestigt het ontwerpprincipe uit cyclus 2:</w:t>
      </w:r>
      <w:r>
        <w:t xml:space="preserve"> </w:t>
      </w:r>
      <w:r>
        <w:rPr>
          <w:i/>
          <w:iCs/>
        </w:rPr>
        <w:t xml:space="preserve">test platform-restricties zo vroeg mogelijk; ze hebben langlopende gevolgen voor de ontwerp-architectuur</w:t>
      </w:r>
      <w:r>
        <w:t xml:space="preserve">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nl-NL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Hoofdstuk 11 — Cyclus 5: Brede uitrol en gestructureerde feedback (mei-augustus 2026)</dc:title>
  <dc:creator>Lex Coene, Hanzehogeschool Groningen, opleiding ORM</dc:creator>
  <dc:language>nl-NL</dc:language>
  <cp:keywords/>
  <dcterms:created xsi:type="dcterms:W3CDTF">2026-05-11T05:50:34Z</dcterms:created>
  <dcterms:modified xsi:type="dcterms:W3CDTF">2026-05-11T05:50:34Z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Mei 2026 (in uitvoering)</vt:lpwstr>
  </property>
  <property fmtid="{D5CDD505-2E9C-101B-9397-08002B2CF9AE}" pid="3" name="subtitle">
    <vt:lpwstr>Onderdeel van: ORM AI Nieuws — Ontwerpgericht onderzoek (DBR), v0.2-concept</vt:lpwstr>
  </property>
</Properties>
</file>