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0"/>
        <w:jc w:val="center"/>
      </w:pPr>
      <w:r>
        <w:rPr>
          <w:rFonts w:ascii="Calibri Light" w:hAnsi="Calibri Light" w:cs="Calibri Light" w:eastAsia="Calibri Light"/>
          <w:sz w:val="56"/>
          <w:b w:val="on"/>
        </w:rPr>
        <w:t>Investigation Analysis Report</w:t>
        <w:br/>
        <w:br/>
      </w:r>
    </w:p>
    <w:p>
      <w:pPr>
        <w:jc w:val="center"/>
      </w:pPr>
      <w:r>
        <w:rPr>
          <w:rFonts w:ascii="Calibri" w:hAnsi="Calibri" w:cs="Calibri" w:eastAsia="Calibri"/>
          <w:sz w:val="22"/>
          <w:i w:val="on"/>
        </w:rPr>
        <w:t>Generated: January 8, 2026</w:t>
      </w:r>
    </w:p>
    <w:p>
      <w:r>
        <w:br w:type="page"/>
      </w:r>
    </w:p>
    <w:p>
      <w:pPr>
        <w:spacing w:before="400" w:after="100"/>
      </w:pPr>
    </w:p>
    <w:p>
      <w:pPr>
        <w:spacing w:before="300"/>
      </w:pPr>
      <w:r>
        <w:rPr>
          <w:rFonts w:ascii="Calibri Light" w:hAnsi="Calibri Light" w:cs="Calibri Light" w:eastAsia="Calibri Light"/>
          <w:sz w:val="36"/>
          <w:b w:val="on"/>
        </w:rPr>
        <w:t>Executive Summary</w:t>
      </w:r>
    </w:p>
    <w:p>
      <w:pPr>
        <w:spacing w:after="200"/>
      </w:pPr>
      <w:r>
        <w:rPr>
          <w:rFonts w:ascii="Calibri" w:hAnsi="Calibri" w:cs="Calibri" w:eastAsia="Calibri"/>
          <w:sz w:val="22"/>
        </w:rPr>
        <w:t>Store 87162 exhibits critical signs of an advanced death spiral with new loans declining 28% year-over-year while pawn loan outstanding remains elevated at $1.36M. The store has entered a dangerous phase where management's conservative lending response (LTV reduced 16% to 51%) is accelerating customer loss, particularly among new customer segments which show declines of 28-49%.</w:t>
      </w:r>
    </w:p>
    <w:p>
      <w:pPr>
        <w:spacing w:before="400" w:after="100"/>
      </w:pPr>
    </w:p>
    <w:p>
      <w:pPr>
        <w:spacing w:before="300"/>
      </w:pPr>
      <w:r>
        <w:rPr>
          <w:rFonts w:ascii="Calibri Light" w:hAnsi="Calibri Light" w:cs="Calibri Light" w:eastAsia="Calibri Light"/>
          <w:sz w:val="36"/>
          <w:b w:val="on"/>
        </w:rPr>
        <w:t>Key Findings</w:t>
      </w:r>
    </w:p>
    <w:p>
      <w:pPr>
        <w:ind w:left="360"/>
      </w:pPr>
      <w:r>
        <w:rPr>
          <w:rFonts w:ascii="Calibri" w:hAnsi="Calibri" w:cs="Calibri" w:eastAsia="Calibri"/>
          <w:sz w:val="22"/>
        </w:rPr>
        <w:t xml:space="preserve">• </w:t>
      </w:r>
      <w:r>
        <w:rPr>
          <w:rFonts w:ascii="Calibri" w:hAnsi="Calibri" w:cs="Calibri" w:eastAsia="Calibri"/>
          <w:sz w:val="22"/>
        </w:rPr>
        <w:t>Severe new loan decline: 28% YoY decrease in December 2025, with volatility throughout the year including periods of -26% and recovery</w:t>
      </w:r>
    </w:p>
    <w:p>
      <w:pPr>
        <w:ind w:left="360"/>
      </w:pPr>
      <w:r>
        <w:rPr>
          <w:rFonts w:ascii="Calibri" w:hAnsi="Calibri" w:cs="Calibri" w:eastAsia="Calibri"/>
          <w:sz w:val="22"/>
        </w:rPr>
        <w:t xml:space="preserve">• </w:t>
      </w:r>
      <w:r>
        <w:rPr>
          <w:rFonts w:ascii="Calibri" w:hAnsi="Calibri" w:cs="Calibri" w:eastAsia="Calibri"/>
          <w:sz w:val="22"/>
        </w:rPr>
        <w:t>Customer acquisition crisis: New customer segments (B0, B1, B2) declining 28-49% while select repeat segments (B3, B4) grow 27-91%</w:t>
      </w:r>
    </w:p>
    <w:p>
      <w:pPr>
        <w:ind w:left="360"/>
      </w:pPr>
      <w:r>
        <w:rPr>
          <w:rFonts w:ascii="Calibri" w:hAnsi="Calibri" w:cs="Calibri" w:eastAsia="Calibri"/>
          <w:sz w:val="22"/>
        </w:rPr>
        <w:t xml:space="preserve">• </w:t>
      </w:r>
      <w:r>
        <w:rPr>
          <w:rFonts w:ascii="Calibri" w:hAnsi="Calibri" w:cs="Calibri" w:eastAsia="Calibri"/>
          <w:sz w:val="22"/>
        </w:rPr>
        <w:t>Default rate volatility: Peaked at 47% in May 2025, with 21 percentage point variance between best and worst months</w:t>
      </w:r>
    </w:p>
    <w:p>
      <w:pPr>
        <w:ind w:left="360"/>
      </w:pPr>
      <w:r>
        <w:rPr>
          <w:rFonts w:ascii="Calibri" w:hAnsi="Calibri" w:cs="Calibri" w:eastAsia="Calibri"/>
          <w:sz w:val="22"/>
        </w:rPr>
        <w:t xml:space="preserve">• </w:t>
      </w:r>
      <w:r>
        <w:rPr>
          <w:rFonts w:ascii="Calibri" w:hAnsi="Calibri" w:cs="Calibri" w:eastAsia="Calibri"/>
          <w:sz w:val="22"/>
        </w:rPr>
        <w:t>LTV overreaction: Loan-to-value ratio restricted from 61% to 51%, indicating 16% reduction in lending aggressiveness</w:t>
      </w:r>
    </w:p>
    <w:p>
      <w:pPr>
        <w:ind w:left="360"/>
      </w:pPr>
      <w:r>
        <w:rPr>
          <w:rFonts w:ascii="Calibri" w:hAnsi="Calibri" w:cs="Calibri" w:eastAsia="Calibri"/>
          <w:sz w:val="22"/>
        </w:rPr>
        <w:t xml:space="preserve">• </w:t>
      </w:r>
      <w:r>
        <w:rPr>
          <w:rFonts w:ascii="Calibri" w:hAnsi="Calibri" w:cs="Calibri" w:eastAsia="Calibri"/>
          <w:sz w:val="22"/>
        </w:rPr>
        <w:t>False security indicator: PLO remains at $1.36M (+15% YoY) masking underlying new loan collapse</w:t>
      </w:r>
    </w:p>
    <w:p>
      <w:pPr>
        <w:ind w:left="360"/>
      </w:pPr>
      <w:r>
        <w:rPr>
          <w:rFonts w:ascii="Calibri" w:hAnsi="Calibri" w:cs="Calibri" w:eastAsia="Calibri"/>
          <w:sz w:val="22"/>
        </w:rPr>
        <w:t xml:space="preserve">• </w:t>
      </w:r>
      <w:r>
        <w:rPr>
          <w:rFonts w:ascii="Calibri" w:hAnsi="Calibri" w:cs="Calibri" w:eastAsia="Calibri"/>
          <w:sz w:val="22"/>
        </w:rPr>
        <w:t>Category-wide decline: Both Jewel and Gener categories down 28% YoY with identical negative growth</w:t>
      </w:r>
    </w:p>
    <w:p>
      <w:pPr>
        <w:spacing w:before="400" w:after="100"/>
      </w:pPr>
    </w:p>
    <w:p>
      <w:pPr>
        <w:spacing w:before="300"/>
      </w:pPr>
      <w:r>
        <w:rPr>
          <w:rFonts w:ascii="Calibri Light" w:hAnsi="Calibri Light" w:cs="Calibri Light" w:eastAsia="Calibri Light"/>
          <w:sz w:val="36"/>
          <w:b w:val="on"/>
        </w:rPr>
        <w:t>Investigation Detail</w:t>
      </w:r>
    </w:p>
    <w:p>
      <w:pPr>
        <w:spacing w:after="200"/>
      </w:pPr>
      <w:r>
        <w:rPr>
          <w:rFonts w:ascii="Calibri" w:hAnsi="Calibri" w:cs="Calibri" w:eastAsia="Calibri"/>
          <w:sz w:val="22"/>
        </w:rPr>
        <w:t>The Initial Store Screening identified Store 87162 as experiencing a severe 28% year-over-year decline in new loans, significantly exceeding the 10% threshold for concern. This triggered the death spiral candidates pattern, prompting deeper Store-Level Diagnostic Analysis to understand the root causes beyond simple period comparisons.</w:t>
      </w:r>
    </w:p>
    <w:p>
      <w:pPr>
        <w:spacing w:after="200"/>
      </w:pPr>
      <w:r>
        <w:rPr>
          <w:rFonts w:ascii="Calibri" w:hAnsi="Calibri" w:cs="Calibri" w:eastAsia="Calibri"/>
          <w:sz w:val="22"/>
        </w:rPr>
        <w:t>The diagnostic analysis revealed a troubling pattern of volatility throughout 2024-2025. New loan growth first turned negative at -26% in March 2024, recovered to positive territory mid-year reaching +56% in December 2024, then collapsed again to -28% by December 2025. This volatility pattern, combined with monthly loan volumes ranging from $12K to $503K (110% variance), suggested either external shocks or internal policy changes disrupting normal operations.</w:t>
      </w:r>
    </w:p>
    <w:p>
      <w:pPr>
        <w:spacing w:after="200"/>
      </w:pPr>
      <w:r>
        <w:rPr>
          <w:rFonts w:ascii="Calibri" w:hAnsi="Calibri" w:cs="Calibri" w:eastAsia="Calibri"/>
          <w:sz w:val="22"/>
        </w:rPr>
        <w:t>Customer segmentation analysis exposed a critical acquisition failure. New customers across all tiers (B0, B1, B2) show dramatic declines of 28-49%, while certain repeat segments (B3, B4) demonstrate strong growth of 27-91%. However, the Repeat-B1 segment also declined 51%, indicating problems extend beyond just new customer acquisition. This bifurcation suggests the store is increasingly dependent on a shrinking base of loyal customers while failing to attract new business.</w:t>
      </w:r>
    </w:p>
    <w:p>
      <w:pPr>
        <w:spacing w:after="200"/>
      </w:pPr>
      <w:r>
        <w:rPr>
          <w:rFonts w:ascii="Calibri" w:hAnsi="Calibri" w:cs="Calibri" w:eastAsia="Calibri"/>
          <w:sz w:val="22"/>
        </w:rPr>
        <w:t>The investigation into lending practices revealed a classic manager overreaction pattern. The loan-to-value ratio decreased from a peak of 61% to a low of 51% - a 16% reduction in lending aggressiveness. This restriction occurred despite relatively stable new loan amounts averaging $400K, with loan values increasing to $942K at peak. The timing of this LTV restriction correlates with the periods of steepest new loan decline, suggesting management's conservative response is actively driving customers away.</w:t>
      </w:r>
    </w:p>
    <w:p>
      <w:pPr>
        <w:spacing w:after="200"/>
      </w:pPr>
      <w:r>
        <w:rPr>
          <w:rFonts w:ascii="Calibri" w:hAnsi="Calibri" w:cs="Calibri" w:eastAsia="Calibri"/>
          <w:sz w:val="22"/>
        </w:rPr>
        <w:t>Default rate analysis uncovered extreme volatility, with rates ranging from 26% to 47% across the year. The store experienced 1,570 dropped loans versus 2,931 redeemed loans, indicating roughly one in three loans default. The correlation between higher dropped loan volumes (183-203 range) and elevated default rates (43-47%) suggests operational stress during peak periods compromises underwriting quality.</w:t>
      </w:r>
    </w:p>
    <w:p>
      <w:pPr>
        <w:spacing w:after="200"/>
      </w:pPr>
      <w:r>
        <w:rPr>
          <w:rFonts w:ascii="Calibri" w:hAnsi="Calibri" w:cs="Calibri" w:eastAsia="Calibri"/>
          <w:sz w:val="22"/>
        </w:rPr>
        <w:t>Leading Indicators &amp; Forecasting analysis, triggered by the need to understand predictive signals, revealed the false security trap. Despite new loans showing consistent negative growth (-26%, -12%, -4%, -28% in recent months), pawn loan outstanding remains elevated between $1.06M and $1.36M. This 17% average new loan decline coupled with stable PLO indicates the store is living off its existing portfolio while failing to generate replacement business. The mathematical relationship dictates that PLO will begin collapsing within 90-180 days as the pipeline of new loans dries up.</w:t>
      </w:r>
    </w:p>
    <w:p>
      <w:pPr>
        <w:spacing w:after="200"/>
      </w:pPr>
      <w:r>
        <w:rPr>
          <w:rFonts w:ascii="Calibri" w:hAnsi="Calibri" w:cs="Calibri" w:eastAsia="Calibri"/>
          <w:sz w:val="22"/>
        </w:rPr>
        <w:t>Transaction pattern analysis revealed complex customer behavioral shifts across product categories, metal qualities, and demographics. Repeat customers show strong preferences for jewelry during certain periods while new customers concentrate on short-term jewelry layaway payments. These granular patterns suggest the store's lending restrictions may be misaligned with actual customer demand patterns, further exacerbating the acquisition crisis.</w:t>
      </w:r>
    </w:p>
    <w:p>
      <w:pPr>
        <w:spacing w:after="200"/>
      </w:pPr>
      <w:r>
        <w:rPr>
          <w:rFonts w:ascii="Calibri" w:hAnsi="Calibri" w:cs="Calibri" w:eastAsia="Calibri"/>
          <w:sz w:val="22"/>
        </w:rPr>
        <w:t>The convergence of evidence points to a late-stage death spiral where management's response to initial stress (high defaults and inventory buildup) has created a self-reinforcing decline. The 16% LTV restriction aimed at reducing risk has instead accelerated customer loss, particularly among new segments. With new loans down 28% year-over-year and showing sustained negative growth across recent months, the current PLO of $1.36M represents a temporary buffer that will erode rapidly once the lag effect materializes. The store has progressed beyond early intervention opportunities and now faces a 12+ month recovery period requiring fundamental operational changes to rebuild customer trust and transaction volume.</w:t>
      </w:r>
    </w:p>
    <w:p>
      <w:r>
        <w:br w:type="page"/>
      </w:r>
    </w:p>
    <w:p>
      <w:pPr>
        <w:spacing w:before="200"/>
      </w:pPr>
      <w:r>
        <w:rPr>
          <w:rFonts w:ascii="Calibri Light" w:hAnsi="Calibri Light" w:cs="Calibri Light" w:eastAsia="Calibri Light"/>
          <w:sz w:val="36"/>
          <w:b w:val="on"/>
        </w:rPr>
        <w:t>Detailed Entity Analysis</w:t>
      </w:r>
    </w:p>
    <w:p>
      <w:pPr>
        <w:spacing w:after="100"/>
      </w:pPr>
      <w:r>
        <w:rPr>
          <w:rFonts w:ascii="Calibri Light" w:hAnsi="Calibri Light" w:cs="Calibri Light" w:eastAsia="Calibri Light"/>
          <w:sz w:val="36"/>
          <w:b w:val="on"/>
        </w:rPr>
        <w:t>Store Number 87162</w:t>
      </w:r>
    </w:p>
    <w:p>
      <w:pPr>
        <w:spacing w:after="300"/>
      </w:pPr>
      <w:r>
        <w:rPr>
          <w:rFonts w:ascii="Calibri" w:hAnsi="Calibri" w:cs="Calibri" w:eastAsia="Calibri"/>
          <w:sz w:val="22"/>
          <w:i w:val="on"/>
        </w:rPr>
        <w:t>Status: At-Risk Indicators Detected</w:t>
      </w:r>
    </w:p>
    <w:p>
      <w:pPr>
        <w:spacing w:before="250" w:after="100"/>
      </w:pPr>
      <w:r>
        <w:rPr>
          <w:rFonts w:ascii="Calibri" w:hAnsi="Calibri" w:cs="Calibri" w:eastAsia="Calibri"/>
          <w:sz w:val="24"/>
          <w:b w:val="on"/>
        </w:rPr>
        <w:t>Default Risk &amp; Portfolio Quality</w:t>
      </w:r>
    </w:p>
    <w:p>
      <w:pPr>
        <w:ind w:left="360"/>
      </w:pPr>
      <w:r>
        <w:rPr>
          <w:rFonts w:ascii="Calibri" w:hAnsi="Calibri" w:cs="Calibri" w:eastAsia="Calibri"/>
          <w:sz w:val="22"/>
        </w:rPr>
        <w:t xml:space="preserve">• </w:t>
      </w:r>
      <w:r>
        <w:rPr>
          <w:rFonts w:ascii="Calibri" w:hAnsi="Calibri" w:cs="Calibri" w:eastAsia="Calibri"/>
          <w:sz w:val="22"/>
        </w:rPr>
        <w:t>Default rate peaked at 47% when dropped loans reached 203, representing a concerning 81% increase above the minimum rate of 26%</w:t>
      </w:r>
    </w:p>
    <w:p>
      <w:pPr>
        <w:ind w:left="360"/>
      </w:pPr>
      <w:r>
        <w:rPr>
          <w:rFonts w:ascii="Calibri" w:hAnsi="Calibri" w:cs="Calibri" w:eastAsia="Calibri"/>
          <w:sz w:val="22"/>
        </w:rPr>
        <w:t xml:space="preserve">• </w:t>
      </w:r>
      <w:r>
        <w:rPr>
          <w:rFonts w:ascii="Calibri" w:hAnsi="Calibri" w:cs="Calibri" w:eastAsia="Calibri"/>
          <w:sz w:val="22"/>
        </w:rPr>
        <w:t>The store experienced 1,570 total dropped loans versus 2,931 redeemed loans across 12 months, indicating roughly 1 in 3 loans default</w:t>
      </w:r>
    </w:p>
    <w:p>
      <w:pPr>
        <w:ind w:left="360"/>
      </w:pPr>
      <w:r>
        <w:rPr>
          <w:rFonts w:ascii="Calibri" w:hAnsi="Calibri" w:cs="Calibri" w:eastAsia="Calibri"/>
          <w:sz w:val="22"/>
        </w:rPr>
        <w:t xml:space="preserve">• </w:t>
      </w:r>
      <w:r>
        <w:rPr>
          <w:rFonts w:ascii="Calibri" w:hAnsi="Calibri" w:cs="Calibri" w:eastAsia="Calibri"/>
          <w:sz w:val="22"/>
        </w:rPr>
        <w:t>Default rate volatility is substantial with a 21 percentage point spread between best and worst months, indicating inconsistent loan portfolio quality</w:t>
      </w:r>
    </w:p>
    <w:p>
      <w:pPr>
        <w:ind w:left="360"/>
      </w:pPr>
      <w:r>
        <w:rPr>
          <w:rFonts w:ascii="Calibri" w:hAnsi="Calibri" w:cs="Calibri" w:eastAsia="Calibri"/>
          <w:sz w:val="22"/>
        </w:rPr>
        <w:t xml:space="preserve">• </w:t>
      </w:r>
      <w:r>
        <w:rPr>
          <w:rFonts w:ascii="Calibri" w:hAnsi="Calibri" w:cs="Calibri" w:eastAsia="Calibri"/>
          <w:sz w:val="22"/>
        </w:rPr>
        <w:t>Higher dropped loan volumes (183-203 range) correlate with elevated default rates (43-47%), while lower volumes (91-98) show better performance (26-29%)</w:t>
      </w:r>
    </w:p>
    <w:p>
      <w:pPr>
        <w:ind w:left="360"/>
      </w:pPr>
      <w:r>
        <w:rPr>
          <w:rFonts w:ascii="Calibri" w:hAnsi="Calibri" w:cs="Calibri" w:eastAsia="Calibri"/>
          <w:sz w:val="22"/>
        </w:rPr>
        <w:t xml:space="preserve">• </w:t>
      </w:r>
      <w:r>
        <w:rPr>
          <w:rFonts w:ascii="Calibri" w:hAnsi="Calibri" w:cs="Calibri" w:eastAsia="Calibri"/>
          <w:sz w:val="22"/>
        </w:rPr>
        <w:t>LTV ratio decreased from a peak of 0.61 to a low of 0.51, representing a 16% reduction in lending aggressiveness</w:t>
      </w:r>
    </w:p>
    <w:p>
      <w:pPr>
        <w:ind w:left="360"/>
      </w:pPr>
      <w:r>
        <w:rPr>
          <w:rFonts w:ascii="Calibri" w:hAnsi="Calibri" w:cs="Calibri" w:eastAsia="Calibri"/>
          <w:sz w:val="22"/>
        </w:rPr>
        <w:t xml:space="preserve">• </w:t>
      </w:r>
      <w:r>
        <w:rPr>
          <w:rFonts w:ascii="Calibri" w:hAnsi="Calibri" w:cs="Calibri" w:eastAsia="Calibri"/>
          <w:sz w:val="22"/>
        </w:rPr>
        <w:t>The decline appears most pronounced in the most recent months, with the lowest LTV (0.51) occurring in the second-to-last period</w:t>
      </w:r>
    </w:p>
    <w:p>
      <w:pPr>
        <w:spacing w:before="250" w:after="100"/>
      </w:pPr>
      <w:r>
        <w:rPr>
          <w:rFonts w:ascii="Calibri" w:hAnsi="Calibri" w:cs="Calibri" w:eastAsia="Calibri"/>
          <w:sz w:val="24"/>
          <w:b w:val="on"/>
        </w:rPr>
        <w:t>Customer Segment Performance</w:t>
      </w:r>
    </w:p>
    <w:p>
      <w:pPr>
        <w:ind w:left="360"/>
      </w:pPr>
      <w:r>
        <w:rPr>
          <w:rFonts w:ascii="Calibri" w:hAnsi="Calibri" w:cs="Calibri" w:eastAsia="Calibri"/>
          <w:sz w:val="22"/>
        </w:rPr>
        <w:t xml:space="preserve">• </w:t>
      </w:r>
      <w:r>
        <w:rPr>
          <w:rFonts w:ascii="Calibri" w:hAnsi="Calibri" w:cs="Calibri" w:eastAsia="Calibri"/>
          <w:sz w:val="22"/>
        </w:rPr>
        <w:t>New customers (New-B0, New-B1, New-B2) show declines ranging from -28% to -49%, indicating the store is losing new customer loan volume</w:t>
      </w:r>
    </w:p>
    <w:p>
      <w:pPr>
        <w:ind w:left="360"/>
      </w:pPr>
      <w:r>
        <w:rPr>
          <w:rFonts w:ascii="Calibri" w:hAnsi="Calibri" w:cs="Calibri" w:eastAsia="Calibri"/>
          <w:sz w:val="22"/>
        </w:rPr>
        <w:t xml:space="preserve">• </w:t>
      </w:r>
      <w:r>
        <w:rPr>
          <w:rFonts w:ascii="Calibri" w:hAnsi="Calibri" w:cs="Calibri" w:eastAsia="Calibri"/>
          <w:sz w:val="22"/>
        </w:rPr>
        <w:t>Repeat customers (Repeat-B2, Repeat-B3, Repeat-B4) show strong growth from +27% to +91%, with Repeat-B3 leading at +91% growth</w:t>
      </w:r>
    </w:p>
    <w:p>
      <w:pPr>
        <w:ind w:left="360"/>
      </w:pPr>
      <w:r>
        <w:rPr>
          <w:rFonts w:ascii="Calibri" w:hAnsi="Calibri" w:cs="Calibri" w:eastAsia="Calibri"/>
          <w:sz w:val="22"/>
        </w:rPr>
        <w:t xml:space="preserve">• </w:t>
      </w:r>
      <w:r>
        <w:rPr>
          <w:rFonts w:ascii="Calibri" w:hAnsi="Calibri" w:cs="Calibri" w:eastAsia="Calibri"/>
          <w:sz w:val="22"/>
        </w:rPr>
        <w:t>Repeat-B1 is the only repeat segment declining at -51%, suggesting potential issues with lower-tier repeat customers</w:t>
      </w:r>
    </w:p>
    <w:p>
      <w:pPr>
        <w:ind w:left="360"/>
      </w:pPr>
      <w:r>
        <w:rPr>
          <w:rFonts w:ascii="Calibri" w:hAnsi="Calibri" w:cs="Calibri" w:eastAsia="Calibri"/>
          <w:sz w:val="22"/>
        </w:rPr>
        <w:t xml:space="preserve">• </w:t>
      </w:r>
      <w:r>
        <w:rPr>
          <w:rFonts w:ascii="Calibri" w:hAnsi="Calibri" w:cs="Calibri" w:eastAsia="Calibri"/>
          <w:sz w:val="22"/>
        </w:rPr>
        <w:t>Customer loyalty segments show distinct behavioral patterns, with repeat customers in the B1 tier demonstrating strong jewelry preferences during the analysis period while general merchandise drives comparison period activity</w:t>
      </w:r>
    </w:p>
    <w:p>
      <w:pPr>
        <w:ind w:left="360"/>
      </w:pPr>
      <w:r>
        <w:rPr>
          <w:rFonts w:ascii="Calibri" w:hAnsi="Calibri" w:cs="Calibri" w:eastAsia="Calibri"/>
          <w:sz w:val="22"/>
        </w:rPr>
        <w:t xml:space="preserve">• </w:t>
      </w:r>
      <w:r>
        <w:rPr>
          <w:rFonts w:ascii="Calibri" w:hAnsi="Calibri" w:cs="Calibri" w:eastAsia="Calibri"/>
          <w:sz w:val="22"/>
        </w:rPr>
        <w:t>New customers (B0) exhibit fundamentally different transaction patterns based on loan terms, with short-term loans (≤1 day) heavily concentrated in jewelry layaway payments during the analysis period</w:t>
      </w:r>
    </w:p>
    <w:p>
      <w:pPr>
        <w:spacing w:before="250" w:after="100"/>
      </w:pPr>
      <w:r>
        <w:rPr>
          <w:rFonts w:ascii="Calibri" w:hAnsi="Calibri" w:cs="Calibri" w:eastAsia="Calibri"/>
          <w:sz w:val="24"/>
          <w:b w:val="on"/>
        </w:rPr>
        <w:t>Product Category &amp; Revenue Trends</w:t>
      </w:r>
    </w:p>
    <w:p>
      <w:pPr>
        <w:ind w:left="360"/>
      </w:pPr>
      <w:r>
        <w:rPr>
          <w:rFonts w:ascii="Calibri" w:hAnsi="Calibri" w:cs="Calibri" w:eastAsia="Calibri"/>
          <w:sz w:val="22"/>
        </w:rPr>
        <w:t xml:space="preserve">• </w:t>
      </w:r>
      <w:r>
        <w:rPr>
          <w:rFonts w:ascii="Calibri" w:hAnsi="Calibri" w:cs="Calibri" w:eastAsia="Calibri"/>
          <w:sz w:val="22"/>
        </w:rPr>
        <w:t>Both Jewel and Gener categories declined by 28% YoY, representing the worst performing categories with identical negative growth</w:t>
      </w:r>
    </w:p>
    <w:p>
      <w:pPr>
        <w:ind w:left="360"/>
      </w:pPr>
      <w:r>
        <w:rPr>
          <w:rFonts w:ascii="Calibri" w:hAnsi="Calibri" w:cs="Calibri" w:eastAsia="Calibri"/>
          <w:sz w:val="22"/>
        </w:rPr>
        <w:t xml:space="preserve">• </w:t>
      </w:r>
      <w:r>
        <w:rPr>
          <w:rFonts w:ascii="Calibri" w:hAnsi="Calibri" w:cs="Calibri" w:eastAsia="Calibri"/>
          <w:sz w:val="22"/>
        </w:rPr>
        <w:t>New loan amounts remained relatively stable (averaging $400K), but loan values increased to $942K at peak, indicating more conservative lending relative to collateral value</w:t>
      </w:r>
    </w:p>
    <w:p>
      <w:pPr>
        <w:ind w:left="360"/>
      </w:pPr>
      <w:r>
        <w:rPr>
          <w:rFonts w:ascii="Calibri" w:hAnsi="Calibri" w:cs="Calibri" w:eastAsia="Calibri"/>
          <w:sz w:val="22"/>
        </w:rPr>
        <w:t xml:space="preserve">• </w:t>
      </w:r>
      <w:r>
        <w:rPr>
          <w:rFonts w:ascii="Calibri" w:hAnsi="Calibri" w:cs="Calibri" w:eastAsia="Calibri"/>
          <w:sz w:val="22"/>
        </w:rPr>
        <w:t>New Loans Amount averages $366.2K per month with a range from $12.1K to $503.3K, indicating significant monthly variability</w:t>
      </w:r>
    </w:p>
    <w:p>
      <w:pPr>
        <w:ind w:left="360"/>
      </w:pPr>
      <w:r>
        <w:rPr>
          <w:rFonts w:ascii="Calibri" w:hAnsi="Calibri" w:cs="Calibri" w:eastAsia="Calibri"/>
          <w:sz w:val="22"/>
        </w:rPr>
        <w:t xml:space="preserve">• </w:t>
      </w:r>
      <w:r>
        <w:rPr>
          <w:rFonts w:ascii="Calibri" w:hAnsi="Calibri" w:cs="Calibri" w:eastAsia="Calibri"/>
          <w:sz w:val="22"/>
        </w:rPr>
        <w:t>Metal quality and product category combinations reveal critical segmentation opportunities, particularly for 10K gold items which dominate high-value repeat customer transactions</w:t>
      </w:r>
    </w:p>
    <w:p>
      <w:pPr>
        <w:ind w:left="360"/>
      </w:pPr>
      <w:r>
        <w:rPr>
          <w:rFonts w:ascii="Calibri" w:hAnsi="Calibri" w:cs="Calibri" w:eastAsia="Calibri"/>
          <w:sz w:val="22"/>
        </w:rPr>
        <w:t xml:space="preserve">• </w:t>
      </w:r>
      <w:r>
        <w:rPr>
          <w:rFonts w:ascii="Calibri" w:hAnsi="Calibri" w:cs="Calibri" w:eastAsia="Calibri"/>
          <w:sz w:val="22"/>
        </w:rPr>
        <w:t>Specific jewelry subcategories drive distinct period classifications, with Cuban chains, Hoop earrings, and Classic styles showing the highest transaction volumes</w:t>
      </w:r>
    </w:p>
    <w:p>
      <w:pPr>
        <w:spacing w:before="250" w:after="100"/>
      </w:pPr>
      <w:r>
        <w:rPr>
          <w:rFonts w:ascii="Calibri" w:hAnsi="Calibri" w:cs="Calibri" w:eastAsia="Calibri"/>
          <w:sz w:val="24"/>
          <w:b w:val="on"/>
        </w:rPr>
        <w:t>Growth Trajectory &amp; Market Performance</w:t>
      </w:r>
    </w:p>
    <w:p>
      <w:pPr>
        <w:ind w:left="360"/>
      </w:pPr>
      <w:r>
        <w:rPr>
          <w:rFonts w:ascii="Calibri" w:hAnsi="Calibri" w:cs="Calibri" w:eastAsia="Calibri"/>
          <w:sz w:val="22"/>
        </w:rPr>
        <w:t xml:space="preserve">• </w:t>
      </w:r>
      <w:r>
        <w:rPr>
          <w:rFonts w:ascii="Calibri" w:hAnsi="Calibri" w:cs="Calibri" w:eastAsia="Calibri"/>
          <w:sz w:val="22"/>
        </w:rPr>
        <w:t>YoY growth turned negative for the first time in the 4th month of the dataset at -26%, followed by recovery to positive growth before declining again in recent months (-4% and -28% in the last visible entries)</w:t>
      </w:r>
    </w:p>
    <w:p>
      <w:pPr>
        <w:ind w:left="360"/>
      </w:pPr>
      <w:r>
        <w:rPr>
          <w:rFonts w:ascii="Calibri" w:hAnsi="Calibri" w:cs="Calibri" w:eastAsia="Calibri"/>
          <w:sz w:val="22"/>
        </w:rPr>
        <w:t xml:space="preserve">• </w:t>
      </w:r>
      <w:r>
        <w:rPr>
          <w:rFonts w:ascii="Calibri" w:hAnsi="Calibri" w:cs="Calibri" w:eastAsia="Calibri"/>
          <w:sz w:val="22"/>
        </w:rPr>
        <w:t>Generational demographics significantly influence transaction patterns and product preferences, with Millennials and Gen X customers showing the highest transaction volumes but different period concentrations</w:t>
      </w:r>
    </w:p>
    <w:p>
      <w:pPr>
        <w:ind w:left="360"/>
      </w:pPr>
      <w:r>
        <w:rPr>
          <w:rFonts w:ascii="Calibri" w:hAnsi="Calibri" w:cs="Calibri" w:eastAsia="Calibri"/>
          <w:sz w:val="22"/>
        </w:rPr>
        <w:t xml:space="preserve">• </w:t>
      </w:r>
      <w:r>
        <w:rPr>
          <w:rFonts w:ascii="Calibri" w:hAnsi="Calibri" w:cs="Calibri" w:eastAsia="Calibri"/>
          <w:sz w:val="22"/>
        </w:rPr>
        <w:t>Baby Boomers demonstrate more stable comparison period patterns across multiple product categories</w:t>
      </w:r>
    </w:p>
    <w:p>
      <w:pPr>
        <w:ind w:left="360"/>
      </w:pPr>
      <w:r>
        <w:rPr>
          <w:rFonts w:ascii="Calibri" w:hAnsi="Calibri" w:cs="Calibri" w:eastAsia="Calibri"/>
          <w:sz w:val="22"/>
        </w:rPr>
        <w:t xml:space="preserve">• </w:t>
      </w:r>
      <w:r>
        <w:rPr>
          <w:rFonts w:ascii="Calibri" w:hAnsi="Calibri" w:cs="Calibri" w:eastAsia="Calibri"/>
          <w:sz w:val="22"/>
        </w:rPr>
        <w:t>Gender differences emerge in luxury brand preferences, particularly for Gucci items among Repeat-B4 customers</w:t>
      </w:r>
    </w:p>
    <w:p>
      <w:pPr>
        <w:spacing w:before="250" w:after="100"/>
      </w:pPr>
      <w:r>
        <w:rPr>
          <w:rFonts w:ascii="Calibri" w:hAnsi="Calibri" w:cs="Calibri" w:eastAsia="Calibri"/>
          <w:sz w:val="24"/>
          <w:b w:val="on"/>
        </w:rPr>
        <w:t>Data Quality Issues</w:t>
      </w:r>
    </w:p>
    <w:p>
      <w:pPr>
        <w:ind w:left="360"/>
      </w:pPr>
      <w:r>
        <w:rPr>
          <w:rFonts w:ascii="Calibri" w:hAnsi="Calibri" w:cs="Calibri" w:eastAsia="Calibri"/>
          <w:sz w:val="22"/>
        </w:rPr>
        <w:t xml:space="preserve">• </w:t>
      </w:r>
      <w:r>
        <w:rPr>
          <w:rFonts w:ascii="Calibri" w:hAnsi="Calibri" w:cs="Calibri" w:eastAsia="Calibri"/>
          <w:sz w:val="22"/>
        </w:rPr>
        <w:t>Data quality issues exist with null values and an 'error' row, plus inconsistent capitalization (new-B4 vs New-B4)</w:t>
      </w:r>
    </w:p>
    <w:p>
      <w:pPr>
        <w:ind w:left="360"/>
      </w:pPr>
      <w:r>
        <w:rPr>
          <w:rFonts w:ascii="Calibri" w:hAnsi="Calibri" w:cs="Calibri" w:eastAsia="Calibri"/>
          <w:sz w:val="22"/>
        </w:rPr>
        <w:t xml:space="preserve">• </w:t>
      </w:r>
      <w:r>
        <w:rPr>
          <w:rFonts w:ascii="Calibri" w:hAnsi="Calibri" w:cs="Calibri" w:eastAsia="Calibri"/>
          <w:sz w:val="22"/>
        </w:rPr>
        <w:t>A third category with missing/null data appears in the dataset, suggesting potential data quality issues or an uncategorized loan segment</w:t>
      </w:r>
    </w:p>
    <w:p>
      <w:pPr>
        <w:ind w:left="360"/>
      </w:pPr>
      <w:r>
        <w:rPr>
          <w:rFonts w:ascii="Calibri" w:hAnsi="Calibri" w:cs="Calibri" w:eastAsia="Calibri"/>
          <w:sz w:val="22"/>
        </w:rPr>
        <w:t xml:space="preserve">• </w:t>
      </w:r>
      <w:r>
        <w:rPr>
          <w:rFonts w:ascii="Calibri" w:hAnsi="Calibri" w:cs="Calibri" w:eastAsia="Calibri"/>
          <w:sz w:val="22"/>
        </w:rPr>
        <w:t>Transaction type patterns reveal loan lifecycle behaviors, with paydown and extend loan transactions heavily concentrated in specific customer-product combinations</w:t>
      </w:r>
    </w:p>
    <w:p>
      <w:pPr>
        <w:ind w:left="360"/>
      </w:pPr>
      <w:r>
        <w:rPr>
          <w:rFonts w:ascii="Calibri" w:hAnsi="Calibri" w:cs="Calibri" w:eastAsia="Calibri"/>
          <w:sz w:val="22"/>
        </w:rPr>
        <w:t xml:space="preserve">• </w:t>
      </w:r>
      <w:r>
        <w:rPr>
          <w:rFonts w:ascii="Calibri" w:hAnsi="Calibri" w:cs="Calibri" w:eastAsia="Calibri"/>
          <w:sz w:val="22"/>
        </w:rPr>
        <w:t>The error customer bucket shows distinct transaction type distributions, with paydown loans and extend loans dominating comparison period activity</w:t>
      </w:r>
    </w:p>
    <w:p>
      <w:r>
        <w:br w:type="page"/>
      </w:r>
    </w:p>
    <w:p>
      <w:r>
        <w:rPr>
          <w:rFonts w:ascii="Calibri Light" w:hAnsi="Calibri Light" w:cs="Calibri Light" w:eastAsia="Calibri Light"/>
          <w:sz w:val="36"/>
          <w:b w:val="on"/>
        </w:rPr>
        <w:t>Data Appendix</w:t>
      </w:r>
    </w:p>
    <w:p>
      <w:pPr>
        <w:spacing w:after="200"/>
      </w:pPr>
      <w:r>
        <w:rPr>
          <w:rFonts w:ascii="Calibri" w:hAnsi="Calibri" w:cs="Calibri" w:eastAsia="Calibri"/>
          <w:sz w:val="22"/>
        </w:rPr>
        <w:t>The following tables contain key data used in the analysis for each entity.</w:t>
      </w:r>
    </w:p>
    <w:p>
      <w:pPr>
        <w:spacing w:before="400" w:after="100"/>
      </w:pPr>
      <w:r>
        <w:rPr>
          <w:rFonts w:ascii="Calibri Light" w:hAnsi="Calibri Light" w:cs="Calibri Light" w:eastAsia="Calibri Light"/>
          <w:sz w:val="28"/>
          <w:b w:val="on"/>
        </w:rPr>
        <w:t>Store Number 87162</w:t>
      </w:r>
    </w:p>
    <w:p>
      <w:pPr>
        <w:spacing w:before="200" w:after="100"/>
      </w:pPr>
      <w:r>
        <w:rPr>
          <w:rFonts w:ascii="Calibri" w:hAnsi="Calibri" w:cs="Calibri" w:eastAsia="Calibri"/>
          <w:sz w:val="22"/>
          <w:i w:val="on"/>
        </w:rPr>
        <w:t>For this store, show monthly New Loans Amount and its YoY percent change for the last 24 months. Identify the first month where YoY growth turned negative. WHERE Store Number='87162'</w:t>
      </w:r>
    </w:p>
    <w:tbl>
      <w:tblPr>
        <w:tblW w:w="5000" w:type="pct"/>
        <w:tblBorders>
          <w:top w:val="single"/>
          <w:left w:val="single"/>
          <w:bottom w:val="single"/>
          <w:right w:val="single"/>
          <w:insideH w:val="single"/>
          <w:insideV w:val="single"/>
        </w:tblBorders>
      </w:tblPr>
      <w:tr>
        <w:tc>
          <w:p>
            <w:r>
              <w:rPr>
                <w:b w:val="on"/>
              </w:rPr>
              <w:t>Date</w:t>
            </w:r>
          </w:p>
        </w:tc>
        <w:tc>
          <w:p>
            <w:r>
              <w:rPr>
                <w:b w:val="on"/>
              </w:rPr>
              <w:t>New Loans Amount ...</w:t>
            </w:r>
          </w:p>
        </w:tc>
        <w:tc>
          <w:p>
            <w:r>
              <w:rPr>
                <w:b w:val="on"/>
              </w:rPr>
              <w:t>YoY Growth % by T...</w:t>
            </w:r>
          </w:p>
        </w:tc>
      </w:tr>
      <w:tr>
        <w:tc>
          <w:p>
            <w:r>
              <w:t>2023-12-31</w:t>
            </w:r>
          </w:p>
        </w:tc>
        <w:tc>
          <w:p>
            <w:r>
              <w:t>12,080</w:t>
            </w:r>
          </w:p>
        </w:tc>
        <w:tc>
          <w:p>
            <w:r>
              <w:t>—</w:t>
            </w:r>
          </w:p>
        </w:tc>
      </w:tr>
      <w:tr>
        <w:tc>
          <w:p>
            <w:r>
              <w:t>2024-01-31</w:t>
            </w:r>
          </w:p>
        </w:tc>
        <w:tc>
          <w:p>
            <w:r>
              <w:t>348,030</w:t>
            </w:r>
          </w:p>
        </w:tc>
        <w:tc>
          <w:p>
            <w:r>
              <w:t>65.1%</w:t>
            </w:r>
          </w:p>
        </w:tc>
      </w:tr>
      <w:tr>
        <w:tc>
          <w:p>
            <w:r>
              <w:t>2024-02-29</w:t>
            </w:r>
          </w:p>
        </w:tc>
        <w:tc>
          <w:p>
            <w:r>
              <w:t>368,855</w:t>
            </w:r>
          </w:p>
        </w:tc>
        <w:tc>
          <w:p>
            <w:r>
              <w:t>43.5%</w:t>
            </w:r>
          </w:p>
        </w:tc>
      </w:tr>
      <w:tr>
        <w:tc>
          <w:p>
            <w:r>
              <w:t>2024-03-31</w:t>
            </w:r>
          </w:p>
        </w:tc>
        <w:tc>
          <w:p>
            <w:r>
              <w:t>246,065</w:t>
            </w:r>
          </w:p>
        </w:tc>
        <w:tc>
          <w:p>
            <w:r>
              <w:t>-26.3%</w:t>
            </w:r>
          </w:p>
        </w:tc>
      </w:tr>
      <w:tr>
        <w:tc>
          <w:p>
            <w:r>
              <w:t>2024-04-30</w:t>
            </w:r>
          </w:p>
        </w:tc>
        <w:tc>
          <w:p>
            <w:r>
              <w:t>335,955</w:t>
            </w:r>
          </w:p>
        </w:tc>
        <w:tc>
          <w:p>
            <w:r>
              <w:t>40.6%</w:t>
            </w:r>
          </w:p>
        </w:tc>
      </w:tr>
      <w:tr>
        <w:tc>
          <w:p>
            <w:r>
              <w:t>2024-05-31</w:t>
            </w:r>
          </w:p>
        </w:tc>
        <w:tc>
          <w:p>
            <w:r>
              <w:t>329,430</w:t>
            </w:r>
          </w:p>
        </w:tc>
        <w:tc>
          <w:p>
            <w:r>
              <w:t>9.1%</w:t>
            </w:r>
          </w:p>
        </w:tc>
      </w:tr>
      <w:tr>
        <w:tc>
          <w:p>
            <w:r>
              <w:t>2024-06-30</w:t>
            </w:r>
          </w:p>
        </w:tc>
        <w:tc>
          <w:p>
            <w:r>
              <w:t>312,780</w:t>
            </w:r>
          </w:p>
        </w:tc>
        <w:tc>
          <w:p>
            <w:r>
              <w:t>28.9%</w:t>
            </w:r>
          </w:p>
        </w:tc>
      </w:tr>
      <w:tr>
        <w:tc>
          <w:p>
            <w:r>
              <w:t>2024-07-31</w:t>
            </w:r>
          </w:p>
        </w:tc>
        <w:tc>
          <w:p>
            <w:r>
              <w:t>329,530</w:t>
            </w:r>
          </w:p>
        </w:tc>
        <w:tc>
          <w:p>
            <w:r>
              <w:t>33.5%</w:t>
            </w:r>
          </w:p>
        </w:tc>
      </w:tr>
      <w:tr>
        <w:tc>
          <w:p>
            <w:r>
              <w:t>2024-08-31</w:t>
            </w:r>
          </w:p>
        </w:tc>
        <w:tc>
          <w:p>
            <w:r>
              <w:t>416,685</w:t>
            </w:r>
          </w:p>
        </w:tc>
        <w:tc>
          <w:p>
            <w:r>
              <w:t>38.1%</w:t>
            </w:r>
          </w:p>
        </w:tc>
      </w:tr>
      <w:tr>
        <w:tc>
          <w:p>
            <w:r>
              <w:t>2024-09-30</w:t>
            </w:r>
          </w:p>
        </w:tc>
        <w:tc>
          <w:p>
            <w:r>
              <w:t>409,420</w:t>
            </w:r>
          </w:p>
        </w:tc>
        <w:tc>
          <w:p>
            <w:r>
              <w:t>34.0%</w:t>
            </w:r>
          </w:p>
        </w:tc>
      </w:tr>
      <w:tr>
        <w:tc>
          <w:p>
            <w:r>
              <w:t>2024-10-31</w:t>
            </w:r>
          </w:p>
        </w:tc>
        <w:tc>
          <w:p>
            <w:r>
              <w:t>478,265</w:t>
            </w:r>
          </w:p>
        </w:tc>
        <w:tc>
          <w:p>
            <w:r>
              <w:t>26.8%</w:t>
            </w:r>
          </w:p>
        </w:tc>
      </w:tr>
      <w:tr>
        <w:tc>
          <w:p>
            <w:r>
              <w:t>2024-11-30</w:t>
            </w:r>
          </w:p>
        </w:tc>
        <w:tc>
          <w:p>
            <w:r>
              <w:t>292,745</w:t>
            </w:r>
          </w:p>
        </w:tc>
        <w:tc>
          <w:p>
            <w:r>
              <w:t>-14.7%</w:t>
            </w:r>
          </w:p>
        </w:tc>
      </w:tr>
      <w:tr>
        <w:tc>
          <w:p>
            <w:r>
              <w:t>2024-12-31</w:t>
            </w:r>
          </w:p>
        </w:tc>
        <w:tc>
          <w:p>
            <w:r>
              <w:t>503,270</w:t>
            </w:r>
          </w:p>
        </w:tc>
        <w:tc>
          <w:p>
            <w:r>
              <w:t>56.8%</w:t>
            </w:r>
          </w:p>
        </w:tc>
      </w:tr>
      <w:tr>
        <w:tc>
          <w:p>
            <w:r>
              <w:t>2025-01-31</w:t>
            </w:r>
          </w:p>
        </w:tc>
        <w:tc>
          <w:p>
            <w:r>
              <w:t>420,800</w:t>
            </w:r>
          </w:p>
        </w:tc>
        <w:tc>
          <w:p>
            <w:r>
              <w:t>20.9%</w:t>
            </w:r>
          </w:p>
        </w:tc>
      </w:tr>
      <w:tr>
        <w:tc>
          <w:p>
            <w:r>
              <w:t>2025-02-28</w:t>
            </w:r>
          </w:p>
        </w:tc>
        <w:tc>
          <w:p>
            <w:r>
              <w:t>461,600</w:t>
            </w:r>
          </w:p>
        </w:tc>
        <w:tc>
          <w:p>
            <w:r>
              <w:t>25.1%</w:t>
            </w:r>
          </w:p>
        </w:tc>
      </w:tr>
      <w:tr>
        <w:tc>
          <w:p>
            <w:r>
              <w:t>2025-03-31</w:t>
            </w:r>
          </w:p>
        </w:tc>
        <w:tc>
          <w:p>
            <w:r>
              <w:t>455,283</w:t>
            </w:r>
          </w:p>
        </w:tc>
        <w:tc>
          <w:p>
            <w:r>
              <w:t>85.0%</w:t>
            </w:r>
          </w:p>
        </w:tc>
      </w:tr>
      <w:tr>
        <w:tc>
          <w:p>
            <w:r>
              <w:t>2025-04-30</w:t>
            </w:r>
          </w:p>
        </w:tc>
        <w:tc>
          <w:p>
            <w:r>
              <w:t>349,500</w:t>
            </w:r>
          </w:p>
        </w:tc>
        <w:tc>
          <w:p>
            <w:r>
              <w:t>4.0%</w:t>
            </w:r>
          </w:p>
        </w:tc>
      </w:tr>
      <w:tr>
        <w:tc>
          <w:p>
            <w:r>
              <w:t>2025-05-31</w:t>
            </w:r>
          </w:p>
        </w:tc>
        <w:tc>
          <w:p>
            <w:r>
              <w:t>414,105</w:t>
            </w:r>
          </w:p>
        </w:tc>
        <w:tc>
          <w:p>
            <w:r>
              <w:t>25.7%</w:t>
            </w:r>
          </w:p>
        </w:tc>
      </w:tr>
      <w:tr>
        <w:tc>
          <w:p>
            <w:r>
              <w:t>2025-06-30</w:t>
            </w:r>
          </w:p>
        </w:tc>
        <w:tc>
          <w:p>
            <w:r>
              <w:t>358,830</w:t>
            </w:r>
          </w:p>
        </w:tc>
        <w:tc>
          <w:p>
            <w:r>
              <w:t>14.7%</w:t>
            </w:r>
          </w:p>
        </w:tc>
      </w:tr>
      <w:tr>
        <w:tc>
          <w:p>
            <w:r>
              <w:t>2025-07-31</w:t>
            </w:r>
          </w:p>
        </w:tc>
        <w:tc>
          <w:p>
            <w:r>
              <w:t>244,710</w:t>
            </w:r>
          </w:p>
        </w:tc>
        <w:tc>
          <w:p>
            <w:r>
              <w:t>-25.7%</w:t>
            </w:r>
          </w:p>
        </w:tc>
      </w:tr>
      <w:tr>
        <w:tc>
          <w:p>
            <w:r>
              <w:t>2025-08-31</w:t>
            </w:r>
          </w:p>
        </w:tc>
        <w:tc>
          <w:p>
            <w:r>
              <w:t>367,500</w:t>
            </w:r>
          </w:p>
        </w:tc>
        <w:tc>
          <w:p>
            <w:r>
              <w:t>-11.8%</w:t>
            </w:r>
          </w:p>
        </w:tc>
      </w:tr>
      <w:tr>
        <w:tc>
          <w:p>
            <w:r>
              <w:t>2025-09-30</w:t>
            </w:r>
          </w:p>
        </w:tc>
        <w:tc>
          <w:p>
            <w:r>
              <w:t>502,073</w:t>
            </w:r>
          </w:p>
        </w:tc>
        <w:tc>
          <w:p>
            <w:r>
              <w:t>22.6%</w:t>
            </w:r>
          </w:p>
        </w:tc>
      </w:tr>
      <w:tr>
        <w:tc>
          <w:p>
            <w:r>
              <w:t>2025-10-31</w:t>
            </w:r>
          </w:p>
        </w:tc>
        <w:tc>
          <w:p>
            <w:r>
              <w:t>458,330</w:t>
            </w:r>
          </w:p>
        </w:tc>
        <w:tc>
          <w:p>
            <w:r>
              <w:t>-4.2%</w:t>
            </w:r>
          </w:p>
        </w:tc>
      </w:tr>
      <w:tr>
        <w:tc>
          <w:p>
            <w:r>
              <w:t>2025-11-30</w:t>
            </w:r>
          </w:p>
        </w:tc>
        <w:tc>
          <w:p>
            <w:r>
              <w:t>377,400</w:t>
            </w:r>
          </w:p>
        </w:tc>
        <w:tc>
          <w:p>
            <w:r>
              <w:t>28.9%</w:t>
            </w:r>
          </w:p>
        </w:tc>
      </w:tr>
      <w:tr>
        <w:tc>
          <w:p>
            <w:r>
              <w:t>2025-12-31</w:t>
            </w:r>
          </w:p>
        </w:tc>
        <w:tc>
          <w:p>
            <w:r>
              <w:t>362,335</w:t>
            </w:r>
          </w:p>
        </w:tc>
        <w:tc>
          <w:p>
            <w:r>
              <w:t>-28.0%</w:t>
            </w:r>
          </w:p>
        </w:tc>
      </w:tr>
    </w:tbl>
    <w:p>
      <w:pPr>
        <w:spacing w:before="200" w:after="100"/>
      </w:pPr>
      <w:r>
        <w:rPr>
          <w:rFonts w:ascii="Calibri" w:hAnsi="Calibri" w:cs="Calibri" w:eastAsia="Calibri"/>
          <w:sz w:val="22"/>
          <w:i w:val="on"/>
        </w:rPr>
        <w:t>For this store, show Loan to Value Ratio monthly for the last 12 months. Has management been restricting lending (LTV declining)? WHERE Store Number='87162'</w:t>
      </w:r>
    </w:p>
    <w:tbl>
      <w:tblPr>
        <w:tblW w:w="5000" w:type="pct"/>
        <w:tblBorders>
          <w:top w:val="single"/>
          <w:left w:val="single"/>
          <w:bottom w:val="single"/>
          <w:right w:val="single"/>
          <w:insideH w:val="single"/>
          <w:insideV w:val="single"/>
        </w:tblBorders>
      </w:tblPr>
      <w:tr>
        <w:tc>
          <w:p>
            <w:r>
              <w:rPr>
                <w:b w:val="on"/>
              </w:rPr>
              <w:t>Date</w:t>
            </w:r>
          </w:p>
        </w:tc>
        <w:tc>
          <w:p>
            <w:r>
              <w:rPr>
                <w:b w:val="on"/>
              </w:rPr>
              <w:t>New Loans Amount ...</w:t>
            </w:r>
          </w:p>
        </w:tc>
        <w:tc>
          <w:p>
            <w:r>
              <w:rPr>
                <w:b w:val="on"/>
              </w:rPr>
              <w:t>Loan Value by Tra...</w:t>
            </w:r>
          </w:p>
        </w:tc>
        <w:tc>
          <w:p>
            <w:r>
              <w:rPr>
                <w:b w:val="on"/>
              </w:rPr>
              <w:t>Loan to Value Ratio</w:t>
            </w:r>
          </w:p>
        </w:tc>
      </w:tr>
      <w:tr>
        <w:tc>
          <w:p>
            <w:r>
              <w:t>2025-01-28</w:t>
            </w:r>
          </w:p>
        </w:tc>
        <w:tc>
          <w:p>
            <w:r>
              <w:t>400,495</w:t>
            </w:r>
          </w:p>
        </w:tc>
        <w:tc>
          <w:p>
            <w:r>
              <w:t>662,193</w:t>
            </w:r>
          </w:p>
        </w:tc>
        <w:tc>
          <w:p>
            <w:r>
              <w:t>0.60</w:t>
            </w:r>
          </w:p>
        </w:tc>
      </w:tr>
      <w:tr>
        <w:tc>
          <w:p>
            <w:r>
              <w:t>2025-02-28</w:t>
            </w:r>
          </w:p>
        </w:tc>
        <w:tc>
          <w:p>
            <w:r>
              <w:t>512,255</w:t>
            </w:r>
          </w:p>
        </w:tc>
        <w:tc>
          <w:p>
            <w:r>
              <w:t>853,803</w:t>
            </w:r>
          </w:p>
        </w:tc>
        <w:tc>
          <w:p>
            <w:r>
              <w:t>0.60</w:t>
            </w:r>
          </w:p>
        </w:tc>
      </w:tr>
      <w:tr>
        <w:tc>
          <w:p>
            <w:r>
              <w:t>2025-03-30</w:t>
            </w:r>
          </w:p>
        </w:tc>
        <w:tc>
          <w:p>
            <w:r>
              <w:t>441,434</w:t>
            </w:r>
          </w:p>
        </w:tc>
        <w:tc>
          <w:p>
            <w:r>
              <w:t>739,056</w:t>
            </w:r>
          </w:p>
        </w:tc>
        <w:tc>
          <w:p>
            <w:r>
              <w:t>0.60</w:t>
            </w:r>
          </w:p>
        </w:tc>
      </w:tr>
      <w:tr>
        <w:tc>
          <w:p>
            <w:r>
              <w:t>2025-04-30</w:t>
            </w:r>
          </w:p>
        </w:tc>
        <w:tc>
          <w:p>
            <w:r>
              <w:t>363,349</w:t>
            </w:r>
          </w:p>
        </w:tc>
        <w:tc>
          <w:p>
            <w:r>
              <w:t>606,440</w:t>
            </w:r>
          </w:p>
        </w:tc>
        <w:tc>
          <w:p>
            <w:r>
              <w:t>0.60</w:t>
            </w:r>
          </w:p>
        </w:tc>
      </w:tr>
      <w:tr>
        <w:tc>
          <w:p>
            <w:r>
              <w:t>2025-05-30</w:t>
            </w:r>
          </w:p>
        </w:tc>
        <w:tc>
          <w:p>
            <w:r>
              <w:t>398,580</w:t>
            </w:r>
          </w:p>
        </w:tc>
        <w:tc>
          <w:p>
            <w:r>
              <w:t>649,592</w:t>
            </w:r>
          </w:p>
        </w:tc>
        <w:tc>
          <w:p>
            <w:r>
              <w:t>0.61</w:t>
            </w:r>
          </w:p>
        </w:tc>
      </w:tr>
      <w:tr>
        <w:tc>
          <w:p>
            <w:r>
              <w:t>2025-06-30</w:t>
            </w:r>
          </w:p>
        </w:tc>
        <w:tc>
          <w:p>
            <w:r>
              <w:t>374,355</w:t>
            </w:r>
          </w:p>
        </w:tc>
        <w:tc>
          <w:p>
            <w:r>
              <w:t>672,898</w:t>
            </w:r>
          </w:p>
        </w:tc>
        <w:tc>
          <w:p>
            <w:r>
              <w:t>0.56</w:t>
            </w:r>
          </w:p>
        </w:tc>
      </w:tr>
      <w:tr>
        <w:tc>
          <w:p>
            <w:r>
              <w:t>2025-07-30</w:t>
            </w:r>
          </w:p>
        </w:tc>
        <w:tc>
          <w:p>
            <w:r>
              <w:t>244,555</w:t>
            </w:r>
          </w:p>
        </w:tc>
        <w:tc>
          <w:p>
            <w:r>
              <w:t>444,267</w:t>
            </w:r>
          </w:p>
        </w:tc>
        <w:tc>
          <w:p>
            <w:r>
              <w:t>0.55</w:t>
            </w:r>
          </w:p>
        </w:tc>
      </w:tr>
      <w:tr>
        <w:tc>
          <w:p>
            <w:r>
              <w:t>2025-08-30</w:t>
            </w:r>
          </w:p>
        </w:tc>
        <w:tc>
          <w:p>
            <w:r>
              <w:t>365,260</w:t>
            </w:r>
          </w:p>
        </w:tc>
        <w:tc>
          <w:p>
            <w:r>
              <w:t>640,140</w:t>
            </w:r>
          </w:p>
        </w:tc>
        <w:tc>
          <w:p>
            <w:r>
              <w:t>0.57</w:t>
            </w:r>
          </w:p>
        </w:tc>
      </w:tr>
      <w:tr>
        <w:tc>
          <w:p>
            <w:r>
              <w:t>2025-09-30</w:t>
            </w:r>
          </w:p>
        </w:tc>
        <w:tc>
          <w:p>
            <w:r>
              <w:t>504,468</w:t>
            </w:r>
          </w:p>
        </w:tc>
        <w:tc>
          <w:p>
            <w:r>
              <w:t>942,590</w:t>
            </w:r>
          </w:p>
        </w:tc>
        <w:tc>
          <w:p>
            <w:r>
              <w:t>0.54</w:t>
            </w:r>
          </w:p>
        </w:tc>
      </w:tr>
      <w:tr>
        <w:tc>
          <w:p>
            <w:r>
              <w:t>2025-10-30</w:t>
            </w:r>
          </w:p>
        </w:tc>
        <w:tc>
          <w:p>
            <w:r>
              <w:t>450,130</w:t>
            </w:r>
          </w:p>
        </w:tc>
        <w:tc>
          <w:p>
            <w:r>
              <w:t>795,830</w:t>
            </w:r>
          </w:p>
        </w:tc>
        <w:tc>
          <w:p>
            <w:r>
              <w:t>0.57</w:t>
            </w:r>
          </w:p>
        </w:tc>
      </w:tr>
      <w:tr>
        <w:tc>
          <w:p>
            <w:r>
              <w:t>2025-11-30</w:t>
            </w:r>
          </w:p>
        </w:tc>
        <w:tc>
          <w:p>
            <w:r>
              <w:t>385,600</w:t>
            </w:r>
          </w:p>
        </w:tc>
        <w:tc>
          <w:p>
            <w:r>
              <w:t>763,393</w:t>
            </w:r>
          </w:p>
        </w:tc>
        <w:tc>
          <w:p>
            <w:r>
              <w:t>0.51</w:t>
            </w:r>
          </w:p>
        </w:tc>
      </w:tr>
      <w:tr>
        <w:tc>
          <w:p>
            <w:r>
              <w:t>2025-12-31</w:t>
            </w:r>
          </w:p>
        </w:tc>
        <w:tc>
          <w:p>
            <w:r>
              <w:t>362,335</w:t>
            </w:r>
          </w:p>
        </w:tc>
        <w:tc>
          <w:p>
            <w:r>
              <w:t>642,254</w:t>
            </w:r>
          </w:p>
        </w:tc>
        <w:tc>
          <w:p>
            <w:r>
              <w:t>0.56</w:t>
            </w:r>
          </w:p>
        </w:tc>
      </w:tr>
    </w:tbl>
    <w:p>
      <w:pPr>
        <w:spacing w:before="200" w:after="100"/>
      </w:pPr>
      <w:r>
        <w:rPr>
          <w:rFonts w:ascii="Calibri" w:hAnsi="Calibri" w:cs="Calibri" w:eastAsia="Calibri"/>
          <w:sz w:val="22"/>
          <w:i w:val="on"/>
        </w:rPr>
        <w:t>For this store, show Default Rate (Dropped Loans Count / Total Loans) monthly for the last 12 months. Is high default rate driving inventory buildup? WHERE Store Number='87162'</w:t>
      </w:r>
    </w:p>
    <w:tbl>
      <w:tblPr>
        <w:tblW w:w="5000" w:type="pct"/>
        <w:tblBorders>
          <w:top w:val="single"/>
          <w:left w:val="single"/>
          <w:bottom w:val="single"/>
          <w:right w:val="single"/>
          <w:insideH w:val="single"/>
          <w:insideV w:val="single"/>
        </w:tblBorders>
      </w:tblPr>
      <w:tr>
        <w:tc>
          <w:p>
            <w:r>
              <w:rPr>
                <w:b w:val="on"/>
              </w:rPr>
              <w:t>Date</w:t>
            </w:r>
          </w:p>
        </w:tc>
        <w:tc>
          <w:p>
            <w:r>
              <w:rPr>
                <w:b w:val="on"/>
              </w:rPr>
              <w:t>Dropped Loans by ...</w:t>
            </w:r>
          </w:p>
        </w:tc>
        <w:tc>
          <w:p>
            <w:r>
              <w:rPr>
                <w:b w:val="on"/>
              </w:rPr>
              <w:t>Redeemed Loans by...</w:t>
            </w:r>
          </w:p>
        </w:tc>
        <w:tc>
          <w:p>
            <w:r>
              <w:rPr>
                <w:b w:val="on"/>
              </w:rPr>
              <w:t>Default Rate</w:t>
            </w:r>
          </w:p>
        </w:tc>
      </w:tr>
      <w:tr>
        <w:tc>
          <w:p>
            <w:r>
              <w:t>2025-01-28</w:t>
            </w:r>
          </w:p>
        </w:tc>
        <w:tc>
          <w:p>
            <w:r>
              <w:t>98.00</w:t>
            </w:r>
          </w:p>
        </w:tc>
        <w:tc>
          <w:p>
            <w:r>
              <w:t>243.00</w:t>
            </w:r>
          </w:p>
        </w:tc>
        <w:tc>
          <w:p>
            <w:r>
              <w:t>28.7%</w:t>
            </w:r>
          </w:p>
        </w:tc>
      </w:tr>
      <w:tr>
        <w:tc>
          <w:p>
            <w:r>
              <w:t>2025-02-28</w:t>
            </w:r>
          </w:p>
        </w:tc>
        <w:tc>
          <w:p>
            <w:r>
              <w:t>121.00</w:t>
            </w:r>
          </w:p>
        </w:tc>
        <w:tc>
          <w:p>
            <w:r>
              <w:t>302.00</w:t>
            </w:r>
          </w:p>
        </w:tc>
        <w:tc>
          <w:p>
            <w:r>
              <w:t>28.6%</w:t>
            </w:r>
          </w:p>
        </w:tc>
      </w:tr>
      <w:tr>
        <w:tc>
          <w:p>
            <w:r>
              <w:t>2025-03-30</w:t>
            </w:r>
          </w:p>
        </w:tc>
        <w:tc>
          <w:p>
            <w:r>
              <w:t>151.00</w:t>
            </w:r>
          </w:p>
        </w:tc>
        <w:tc>
          <w:p>
            <w:r>
              <w:t>277.00</w:t>
            </w:r>
          </w:p>
        </w:tc>
        <w:tc>
          <w:p>
            <w:r>
              <w:t>35.3%</w:t>
            </w:r>
          </w:p>
        </w:tc>
      </w:tr>
      <w:tr>
        <w:tc>
          <w:p>
            <w:r>
              <w:t>2025-04-30</w:t>
            </w:r>
          </w:p>
        </w:tc>
        <w:tc>
          <w:p>
            <w:r>
              <w:t>183.00</w:t>
            </w:r>
          </w:p>
        </w:tc>
        <w:tc>
          <w:p>
            <w:r>
              <w:t>239.00</w:t>
            </w:r>
          </w:p>
        </w:tc>
        <w:tc>
          <w:p>
            <w:r>
              <w:t>43.4%</w:t>
            </w:r>
          </w:p>
        </w:tc>
      </w:tr>
      <w:tr>
        <w:tc>
          <w:p>
            <w:r>
              <w:t>2025-05-30</w:t>
            </w:r>
          </w:p>
        </w:tc>
        <w:tc>
          <w:p>
            <w:r>
              <w:t>203.00</w:t>
            </w:r>
          </w:p>
        </w:tc>
        <w:tc>
          <w:p>
            <w:r>
              <w:t>226.00</w:t>
            </w:r>
          </w:p>
        </w:tc>
        <w:tc>
          <w:p>
            <w:r>
              <w:t>47.3%</w:t>
            </w:r>
          </w:p>
        </w:tc>
      </w:tr>
      <w:tr>
        <w:tc>
          <w:p>
            <w:r>
              <w:t>2025-06-30</w:t>
            </w:r>
          </w:p>
        </w:tc>
        <w:tc>
          <w:p>
            <w:r>
              <w:t>116.00</w:t>
            </w:r>
          </w:p>
        </w:tc>
        <w:tc>
          <w:p>
            <w:r>
              <w:t>276.00</w:t>
            </w:r>
          </w:p>
        </w:tc>
        <w:tc>
          <w:p>
            <w:r>
              <w:t>29.6%</w:t>
            </w:r>
          </w:p>
        </w:tc>
      </w:tr>
      <w:tr>
        <w:tc>
          <w:p>
            <w:r>
              <w:t>2025-07-30</w:t>
            </w:r>
          </w:p>
        </w:tc>
        <w:tc>
          <w:p>
            <w:r>
              <w:t>131.00</w:t>
            </w:r>
          </w:p>
        </w:tc>
        <w:tc>
          <w:p>
            <w:r>
              <w:t>232.00</w:t>
            </w:r>
          </w:p>
        </w:tc>
        <w:tc>
          <w:p>
            <w:r>
              <w:t>36.1%</w:t>
            </w:r>
          </w:p>
        </w:tc>
      </w:tr>
      <w:tr>
        <w:tc>
          <w:p>
            <w:r>
              <w:t>2025-08-30</w:t>
            </w:r>
          </w:p>
        </w:tc>
        <w:tc>
          <w:p>
            <w:r>
              <w:t>91.00</w:t>
            </w:r>
          </w:p>
        </w:tc>
        <w:tc>
          <w:p>
            <w:r>
              <w:t>236.00</w:t>
            </w:r>
          </w:p>
        </w:tc>
        <w:tc>
          <w:p>
            <w:r>
              <w:t>27.8%</w:t>
            </w:r>
          </w:p>
        </w:tc>
      </w:tr>
      <w:tr>
        <w:tc>
          <w:p>
            <w:r>
              <w:t>2025-09-30</w:t>
            </w:r>
          </w:p>
        </w:tc>
        <w:tc>
          <w:p>
            <w:r>
              <w:t>111.00</w:t>
            </w:r>
          </w:p>
        </w:tc>
        <w:tc>
          <w:p>
            <w:r>
              <w:t>190.00</w:t>
            </w:r>
          </w:p>
        </w:tc>
        <w:tc>
          <w:p>
            <w:r>
              <w:t>36.9%</w:t>
            </w:r>
          </w:p>
        </w:tc>
      </w:tr>
      <w:tr>
        <w:tc>
          <w:p>
            <w:r>
              <w:t>2025-10-30</w:t>
            </w:r>
          </w:p>
        </w:tc>
        <w:tc>
          <w:p>
            <w:r>
              <w:t>139.00</w:t>
            </w:r>
          </w:p>
        </w:tc>
        <w:tc>
          <w:p>
            <w:r>
              <w:t>221.00</w:t>
            </w:r>
          </w:p>
        </w:tc>
        <w:tc>
          <w:p>
            <w:r>
              <w:t>38.6%</w:t>
            </w:r>
          </w:p>
        </w:tc>
      </w:tr>
      <w:tr>
        <w:tc>
          <w:p>
            <w:r>
              <w:t>2025-11-30</w:t>
            </w:r>
          </w:p>
        </w:tc>
        <w:tc>
          <w:p>
            <w:r>
              <w:t>129.00</w:t>
            </w:r>
          </w:p>
        </w:tc>
        <w:tc>
          <w:p>
            <w:r>
              <w:t>216.00</w:t>
            </w:r>
          </w:p>
        </w:tc>
        <w:tc>
          <w:p>
            <w:r>
              <w:t>37.4%</w:t>
            </w:r>
          </w:p>
        </w:tc>
      </w:tr>
      <w:tr>
        <w:tc>
          <w:p>
            <w:r>
              <w:t>2025-12-31</w:t>
            </w:r>
          </w:p>
        </w:tc>
        <w:tc>
          <w:p>
            <w:r>
              <w:t>97.00</w:t>
            </w:r>
          </w:p>
        </w:tc>
        <w:tc>
          <w:p>
            <w:r>
              <w:t>273.00</w:t>
            </w:r>
          </w:p>
        </w:tc>
        <w:tc>
          <w:p>
            <w:r>
              <w:t>26.2%</w:t>
            </w:r>
          </w:p>
        </w:tc>
      </w:tr>
    </w:tbl>
    <w:p>
      <w:r>
        <w:br w:type="page"/>
      </w:r>
    </w:p>
    <w:p>
      <w:r>
        <w:rPr>
          <w:rFonts w:ascii="Calibri Light" w:hAnsi="Calibri Light" w:cs="Calibri Light" w:eastAsia="Calibri Light"/>
          <w:sz w:val="36"/>
          <w:b w:val="on"/>
        </w:rPr>
        <w:t>Methodology</w:t>
      </w:r>
    </w:p>
    <w:p>
      <w:pPr>
        <w:spacing w:after="200"/>
      </w:pPr>
      <w:r>
        <w:rPr>
          <w:rFonts w:ascii="Calibri" w:hAnsi="Calibri" w:cs="Calibri" w:eastAsia="Calibri"/>
          <w:sz w:val="22"/>
        </w:rPr>
        <w:t>This analysis was conducted using automated investigation technology that:</w:t>
      </w:r>
    </w:p>
    <w:p>
      <w:pPr>
        <w:ind w:left="360"/>
      </w:pPr>
      <w:r>
        <w:rPr>
          <w:rFonts w:ascii="Calibri" w:hAnsi="Calibri" w:cs="Calibri" w:eastAsia="Calibri"/>
          <w:sz w:val="22"/>
        </w:rPr>
        <w:t xml:space="preserve">• </w:t>
      </w:r>
      <w:r>
        <w:rPr>
          <w:rFonts w:ascii="Calibri" w:hAnsi="Calibri" w:cs="Calibri" w:eastAsia="Calibri"/>
          <w:sz w:val="22"/>
        </w:rPr>
        <w:t>Screened all entities against defined criteria</w:t>
      </w:r>
    </w:p>
    <w:p>
      <w:pPr>
        <w:ind w:left="360"/>
      </w:pPr>
      <w:r>
        <w:rPr>
          <w:rFonts w:ascii="Calibri" w:hAnsi="Calibri" w:cs="Calibri" w:eastAsia="Calibri"/>
          <w:sz w:val="22"/>
        </w:rPr>
        <w:t xml:space="preserve">• </w:t>
      </w:r>
      <w:r>
        <w:rPr>
          <w:rFonts w:ascii="Calibri" w:hAnsi="Calibri" w:cs="Calibri" w:eastAsia="Calibri"/>
          <w:sz w:val="22"/>
        </w:rPr>
        <w:t>Identified entities meeting threshold conditions</w:t>
      </w:r>
    </w:p>
    <w:p>
      <w:pPr>
        <w:ind w:left="360"/>
      </w:pPr>
      <w:r>
        <w:rPr>
          <w:rFonts w:ascii="Calibri" w:hAnsi="Calibri" w:cs="Calibri" w:eastAsia="Calibri"/>
          <w:sz w:val="22"/>
        </w:rPr>
        <w:t xml:space="preserve">• </w:t>
      </w:r>
      <w:r>
        <w:rPr>
          <w:rFonts w:ascii="Calibri" w:hAnsi="Calibri" w:cs="Calibri" w:eastAsia="Calibri"/>
          <w:sz w:val="22"/>
        </w:rPr>
        <w:t>Conducted detailed analysis for each flagged entity</w:t>
      </w:r>
    </w:p>
    <w:p>
      <w:pPr>
        <w:ind w:left="360"/>
      </w:pPr>
      <w:r>
        <w:rPr>
          <w:rFonts w:ascii="Calibri" w:hAnsi="Calibri" w:cs="Calibri" w:eastAsia="Calibri"/>
          <w:sz w:val="22"/>
        </w:rPr>
        <w:t xml:space="preserve">• </w:t>
      </w:r>
      <w:r>
        <w:rPr>
          <w:rFonts w:ascii="Calibri" w:hAnsi="Calibri" w:cs="Calibri" w:eastAsia="Calibri"/>
          <w:sz w:val="22"/>
        </w:rPr>
        <w:t>Applied time-based pattern analysis to identify trends</w:t>
      </w:r>
    </w:p>
    <w:p>
      <w:pPr>
        <w:ind w:left="360"/>
      </w:pPr>
      <w:r>
        <w:rPr>
          <w:rFonts w:ascii="Calibri" w:hAnsi="Calibri" w:cs="Calibri" w:eastAsia="Calibri"/>
          <w:sz w:val="22"/>
        </w:rPr>
        <w:t xml:space="preserve">• </w:t>
      </w:r>
      <w:r>
        <w:rPr>
          <w:rFonts w:ascii="Calibri" w:hAnsi="Calibri" w:cs="Calibri" w:eastAsia="Calibri"/>
          <w:sz w:val="22"/>
        </w:rPr>
        <w:t>Synthesized findings into actionable insights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2026-01-08T23:39:56Z</dcterms:created>
  <dc:creator>Apache POI</dc:creator>
</cp:coreProperties>
</file>