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target_audience.md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Primary audience — B2B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Who: Foreign business owners, procurement decision-makers, and company representatives who have a reason to visit China — factory inspections, supplier meetings, trade exploration, or partnership development. Industries and company sizes are deliberately kept open at this stage; we are in a discovery phase and will refine focus based on actual inquiries.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Where they are: Primarily English-speaking or French-speaking markets. Western Europe and Australia are natural starting points given our language capability. Open to other markets as interest emerges.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they need: A trusted local partner who can handle logistics, translation, scheduling, and the cultural choreography of doing business in China — so they can focus entirely on their business objectives.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Their anxiety: Being taken to the wrong place. Being misled. Wasting a trip. Not knowing who to trust.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wins them over: Evidence of real on-the-ground knowledge. Clear process. Social proof from previous visits.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Secondary audience — C-end travel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Who: Curious, independent travelers — likely already interested in China beyond the standard tourist circuit. Possibly connected to the business world (entrepreneurs, creatives, professionals on sabbatical).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they need: A way into China that doesn't feel like a package tour. Real experiences, local texture, access to things they couldn't find on their own.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Note: C-end is secondary for now. Prioritize B2B content and conversion. C-end content can run in parallel but should not dilute the professional positioning.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Russian-speaking market — watch, not target yet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Geopolitical shifts have redirected Russian traveler and business flows toward China. This is a real opportunity to monitor. However, team language capability is currently English and some French only. Do not market to Russian-speaking audiences until translation and service capacity is confirmed.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