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content_calendar.md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Posting rhythm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Frequency: 4 posts per week — optimal for algorithmic growth on new accounts.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Format split: 2 Reels + 2 static images per week.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Best posting times (CET / target audience timezone): Tuesday &amp; Thursday 7–9am, Wednesday &amp; Friday 12–1pm. Adjust once account analytics are available.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Weekly content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Monday — Reel — B2B insight: process, behind-the-scenes, or "how we work"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Wednesday — Static — China context: place, culture, or industry observation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Friday — Reel — Story-led: a real situation, problem solved, or client scenario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Sunday — Static — Ambient / visual: texture, mood, place. Lighter tone.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Content pillars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How we work (40%) — Process transparency. What does a commercial visit actually look like? What do we handle? This builds trust with B2B prospects.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China unlocked (30%) — Context a foreign visitor wouldn't easily find. Not tourist facts — industry insight, regional nuance, practical knowledge.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Stories &amp; scenarios (20%) — Real or illustrative situations. "A client needed X. Here's how it went." Narrative-driven, specific, human.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Ambient China (10%) — Beautiful, warm, considered visuals. No caption needed beyond a single line. Grid filler that maintains visual cohesion.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Status tracking — copy this table into each week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Date | Format | Pillar | Topic | Script/Copy | Visual | Status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|------|--------|--------|-------|-------------|--------|--------|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Mon DD/MM | Reel | How we work | [topic] | [ ] | [ ] | Draft / Ready / Posted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Wed DD/MM | Static | China unlocked | [topic] | [ ] | [ ] | Draft / Ready / Posted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Fri DD/MM | Reel | Story | [topic] | [ ] | [ ] | Draft / Ready / Posted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Sun DD/MM | Static | Ambient | [topic] | [ ] | [ ] | Draft / Ready / Posted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Content Entry Template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this template under each week after the status tracking table.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section is designed to make each planned post easier to understand, archive, and automate.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Content Entry — YYYY-MM-DD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Title: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Format: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Pillar: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Goal: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Audience: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Asset Type: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Script File: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Status: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Notes: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Weekly Content Entries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After filling in the weekly status tracking table, add structured content entries for each planned post.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Content Entry — 2026-03-25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Title: What Between Routes China actually does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Format: Reel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Pillar: Brand POV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Goal: Clarify what the brand does for first-time profile visitors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Audience: Overseas business visitors / high-intent international clients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Asset Type: AI video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Script File: scripts/2026-03-25_brand-intro_reel.md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Status: Planned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Notes: Launch-week brand introduction post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Content Entry — 2026-03-27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Title: What a business visit to China can actually include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Format: Static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Pillar: Business Visits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Goal: Explain the practical scope of a China business visit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Audience: Founders, buyers, procurement teams, delegations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Asset Type: AI image carousel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Script File: scripts/2026-03-27_business-visit-scope_carousel.md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Status: Planned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Notes: Service-clarity post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