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MASTER_PROMPT.md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INSTRUCTIONS FOR AI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 time you receive a task for Between Routes China, read this document first in full before doing anything else. It is your single source of truth.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Who we 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Between Routes China is a boutique gateway service for foreign businesses and individuals entering China. We coordinate B2B commercial visits (factory tours, supplier meetings, business logistics) and connect travelers with premium local experiences.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are not a travel agency. We are not a middleman. We are operators with real on-the-ground knowledge who remove friction from the process of doing business and traveling in China.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Our founders come from international social media and brand strategy (We Are Social, Shanghai). We understand how global clients think and how to communicate across cultures without losing nuance.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Our audience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Primary — B2B: Foreign business owners, procurement leads, and company representatives who need to visit China for factory inspections, supplier meetings, or trade exploration. Primarily English-speaking, based in Western Europe or Australia. We are in a discovery phase — industry focus will be refined based on real inquiries, so do not assume or lock in a specific sector.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Secondary — C-end travel: Independent travelers who want a real experience of China, not a package tour. Likely entrepreneurial or professionally curious. Do not let C-end content dominate or dilute the professional B2B positioning.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Languages we serve: English and some French. Do not create content targeting Russian-speaking audiences — we do not have service capacity for this yet.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Brand voice — how we always sound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Confident, not arrogant. We know China. We don't need to shout about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Specific, not vague. Give real information — context, insight, nuance. Never generic reassurance.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Warm, not casual. Human and approachable, but always professional. No slang, no over-familiarity.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Curious, not performative. We genuinely find China interesting. Let that come through.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What we never sound like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traditional travel agency. A generic "China tour" brochure. A middleman with no value-add. Over-promising. Salesy. Tourist-trap energy. Anything that could be written by someone who has never been to China.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Visual identity — quick reference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Colors: Warm whites and linens (#F5F0E8, #E8DFD0), sand accents (#C9B99A), deep brown and near-black text (#3D3530, #1A1614). No pure white, no pure black. No bright colors, no gradients.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Typography: Cormorant Garamond for headings (serif, elegant, matches logo). Jost or DM Sans for body text.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Photography mood: Warm, cinematic, real — not stock. Consistent warm filter. No cold tones, no tourist-brochure imagery.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INS content rules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Priority: B2B content first. Every piece of content should be something a foreign business visitor would find useful, credible, or intriguing — not just visually pretty.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Most valuable content type: Stories about real problems we solve. "Here's how we helped a foreign team navigate X" performs better than scenic photography for our target audience.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Caption style: Short to medium length. Opens with a specific observation or insight, not a question or generic hook. Ends with a subtle CTA directing to the website or inviting DMs — never pushy.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Hashtags: Use the pre-approved sets in hashtag_sets.md. Do not invent new hashtags without updating that file.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Grid consistency: Warm filter on all visuals. Cormorant Garamond for any text overlays. Do not mix visual styles within the same month.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File structure — where things live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00_Brand_Core — brand_voice_guide, target_audience, visual_identity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01_INS_Operations — content_calendar, post_templates, hashtag_sets, scripts/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02_SEO — managed by Jade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03_Leads_CRM — inquiry_log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99_Agent_Instructions — this file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Operating Rule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Use the existing document system as the default operating environment for all Between Routes China Instagram tasks.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Before doing any work, always read: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`99_Agent_Instructions/WORKFLOW.md`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`99_Agent_Instructions/MASTER_PROMPT.md`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`00_Brand_Core/brand_voice_guide.md`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`00_Brand_Core/target_audience.md`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`00_Brand_Core/visual_identity.md`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`01_INS_Operations/post_templates.md`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`01_INS_Operations/hashtag_sets.md`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`01_INS_Operations/content_calendar.md`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relevant script files already exist, review recent files in: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`01_INS_Operations/scripts/`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these documents as the source of truth for: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brand tone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audience priority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visual consistency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output format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file naming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workflow sequence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content continuity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 not create Instagram content in isolation.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Always use previous planned, published, or scripted content as reference before generating anything new.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Workflow Trigger Rule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the user asks to continue, execute, or move forward with Instagram work, interpret that as a workflow trigger.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Typical trigger phrases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continue this week’s production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execute this week’s Instagram plan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turn planned posts into scripts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continue the content calendar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create this week’s scripts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make this into a Reel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make this into a Carousel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When triggered, do the next logical step using the existing system.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read the required documents first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locate the relevant week or post in `content_calendar.md`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preserve all existing document sections unless explicitly asked to rewrite them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add missing Content Entries if needed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create or complete the corresponding file in `01_INS_Operations/scripts/`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follow the correct format template from `post_templates.md`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7. keep the new output consistent with previous content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 not wait for extra confirmation unless the request is genuinely ambiguous.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Preservation Rule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When updating an existing system document: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preserve all current sections unless explicitly asked to rewrite them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add new material as an extension, not a replacement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do not overwrite original planning logic, headings, or structures by default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Format Execution Rule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For Reel content, always output: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hook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voiceover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scene breakdown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one AI visual prompt per scene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caption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hashtag set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Carousel content, always output: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cover headline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slide-by-slide copy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one AI image prompt per slide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caption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hashtag set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All outputs must be production-ready for AI-assisted asset generation.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Language Rule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Prefer affirmative, direct language.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“not X, but Y” constructions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contrast-led phrasing built around negation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defining the brand mainly through opposition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State what we do and what value we provide directly.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When in doubt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Ask: would a senior partner at a boutique consultancy be comfortable putting their name on this? If yes, proceed. If no, revise. When genuinely unsure about direction, flag for human review rather than guess.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Writing constraints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tl w:val="0"/>
        </w:rPr>
        <w:t xml:space="preserve">Avoid “not X, but Y” constructions.Avoid contrast-led phrasing built around negation.Do not use “not…” as a primary rhetorical device in headlines, hooks, or brand copy unless absolutely necessary.Prefer affirmative, direct language that states what we are and what we do.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When updating existing system documents, preserve all existing sections unless explicitly asked to rewrite them.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Add new rules or modules as extensions, not replacements.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