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clinical and non-clinical(food) Listeria monocytogenes isolates</w:t>
      </w:r>
    </w:p>
    <w:p>
      <w:pPr>
        <w:pStyle w:val="Author"/>
      </w:pPr>
      <w:r>
        <w:t xml:space="preserve">Alexis Gonzalez</w:t>
      </w:r>
    </w:p>
    <w:p>
      <w:pPr>
        <w:pStyle w:val="FirstParagraph"/>
      </w:pPr>
      <w:r>
        <w:t xml:space="preserve">The structure below is one possible setup for a manuscript, or a general data analysis project (including the course project).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Alexis Gonzalez</w:t>
      </w:r>
      <w:r>
        <w:t xml:space="preserve"> </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Compact"/>
        <w:numPr>
          <w:ilvl w:val="0"/>
          <w:numId w:val="1001"/>
        </w:numPr>
      </w:pPr>
      <w:r>
        <w:t xml:space="preserve">Second Author</w:t>
      </w:r>
      <m:oMath>
        <m:sSup>
          <m:e>
            <m:r>
              <m:t>​</m:t>
            </m:r>
          </m:e>
          <m:sup>
            <m:r>
              <m:t>3</m:t>
            </m:r>
            <m:r>
              <m:rPr>
                <m:sty m:val="p"/>
              </m:rPr>
              <m:t>,</m:t>
            </m:r>
            <m:r>
              <m:rPr>
                <m:sty m:val="p"/>
              </m:rPr>
              <m:t>*</m:t>
            </m:r>
          </m:sup>
        </m:sSup>
      </m:oMath>
    </w:p>
    <w:p>
      <w:pPr>
        <w:pStyle w:val="Compact"/>
        <w:numPr>
          <w:ilvl w:val="0"/>
          <w:numId w:val="1001"/>
        </w:numPr>
      </w:pPr>
      <m:oMath>
        <m:sSup>
          <m:e>
            <m:r>
              <m:t>​</m:t>
            </m:r>
          </m:e>
          <m:sup>
            <m:r>
              <m:t>3</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Another Affiliation, Athens, GA, USA.</w:t>
      </w:r>
    </w:p>
    <w:p>
      <w:pPr>
        <w:pStyle w:val="Compact"/>
        <w:numPr>
          <w:ilvl w:val="0"/>
          <w:numId w:val="1002"/>
        </w:numPr>
      </w:pPr>
      <w:r>
        <w:t xml:space="preserve">Yet another Affiliation.</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2" w:name="part-1-project-idea"/>
    <w:p>
      <w:pPr>
        <w:pStyle w:val="Heading1"/>
      </w:pPr>
      <w:r>
        <w:t xml:space="preserve">1. Part 1 Project Idea</w:t>
      </w:r>
    </w:p>
    <w:p>
      <w:pPr>
        <w:pStyle w:val="FirstParagraph"/>
      </w:pPr>
      <w:r>
        <w:t xml:space="preserve">For this project I will utilize data from the National Center for Biotechnology Information’s Pathogen Detection system. This is a database that collects genomic data from a various different sources such as state laboratories, private laboratories, and government agencies like CDC, FDA, USDA, and EPA. It is primarily used a surveillance tool to monitor isolates,clusters, antimicrobial resistance, and active outbreaks. As someone that keeps track of foodborne pathogen outbreaks, I have noticed the increase in Listeria monocytogenes outbreaks. With the NCBI data I would like to visualize the occurence of new listeria strains, compare trees for clinical vs nonclincal isolates, and maybe see the correlation between the number of clinical isolates to the number of non-clincal isolates, maybe investigate how often non-clinical isolates have a clinical in the same cluster. I could also look at distribution across the United States. There is some data for other countries, but far less than the U.S. . For this project I will filter the data to show isolates collected from January 1, 2015 to January 1, 2025. This gives me 22,980 isolates and 2,365 clusters.</w:t>
      </w:r>
    </w:p>
    <w:p>
      <w:r>
        <w:br w:type="page"/>
      </w:r>
    </w:p>
    <w:bookmarkEnd w:id="22"/>
    <w:bookmarkStart w:id="23" w:name="summaryabstract"/>
    <w:p>
      <w:pPr>
        <w:pStyle w:val="Heading1"/>
      </w:pPr>
      <w:r>
        <w:t xml:space="preserve">2. Summary/Abstract</w:t>
      </w:r>
    </w:p>
    <w:p>
      <w:pPr>
        <w:pStyle w:val="FirstParagraph"/>
      </w:pPr>
      <w:r>
        <w:rPr>
          <w:i/>
          <w:iCs/>
        </w:rPr>
        <w:t xml:space="preserve">Write a summary of your project.</w:t>
      </w:r>
    </w:p>
    <w:p>
      <w:r>
        <w:br w:type="page"/>
      </w:r>
    </w:p>
    <w:bookmarkEnd w:id="23"/>
    <w:bookmarkStart w:id="27" w:name="introduction"/>
    <w:p>
      <w:pPr>
        <w:pStyle w:val="Heading1"/>
      </w:pPr>
      <w:r>
        <w:t xml:space="preserve">3. Introduction</w:t>
      </w:r>
    </w:p>
    <w:bookmarkStart w:id="24" w:name="general-background-information"/>
    <w:p>
      <w:pPr>
        <w:pStyle w:val="Heading2"/>
      </w:pPr>
      <w:r>
        <w:t xml:space="preserve">3.1 General Background Information</w:t>
      </w:r>
    </w:p>
    <w:p>
      <w:pPr>
        <w:pStyle w:val="FirstParagraph"/>
      </w:pPr>
      <w:r>
        <w:rPr>
          <w:i/>
          <w:iCs/>
        </w:rPr>
        <w:t xml:space="preserve">Provide enough background on your topic that others can understand the why and how of your analysis</w:t>
      </w:r>
    </w:p>
    <w:bookmarkEnd w:id="24"/>
    <w:bookmarkStart w:id="25" w:name="description-of-data-and-data-source"/>
    <w:p>
      <w:pPr>
        <w:pStyle w:val="Heading2"/>
      </w:pPr>
      <w:r>
        <w:t xml:space="preserve">3.2 Description of data and data source</w:t>
      </w:r>
    </w:p>
    <w:p>
      <w:pPr>
        <w:pStyle w:val="FirstParagraph"/>
      </w:pPr>
      <w:r>
        <w:t xml:space="preserve">This project will utilize two data sources</w:t>
      </w:r>
    </w:p>
    <w:p>
      <w:pPr>
        <w:pStyle w:val="Compact"/>
        <w:numPr>
          <w:ilvl w:val="0"/>
          <w:numId w:val="1003"/>
        </w:numPr>
      </w:pPr>
      <w:r>
        <w:t xml:space="preserve">National Center for Biotechnology Information’s Pathogen Detection system</w:t>
      </w:r>
    </w:p>
    <w:p>
      <w:pPr>
        <w:pStyle w:val="Compact"/>
        <w:numPr>
          <w:ilvl w:val="0"/>
          <w:numId w:val="1003"/>
        </w:numPr>
      </w:pPr>
      <w:r>
        <w:t xml:space="preserve">CDC National Notifiable Disease Surveillance System</w:t>
      </w:r>
    </w:p>
    <w:bookmarkEnd w:id="25"/>
    <w:bookmarkStart w:id="26" w:name="questionshypotheses-to-be-addressed"/>
    <w:p>
      <w:pPr>
        <w:pStyle w:val="Heading2"/>
      </w:pPr>
      <w:r>
        <w:t xml:space="preserve">3.3 Questions/Hypotheses to be addressed</w:t>
      </w:r>
    </w:p>
    <w:p>
      <w:pPr>
        <w:pStyle w:val="Compact"/>
        <w:numPr>
          <w:ilvl w:val="0"/>
          <w:numId w:val="1004"/>
        </w:numPr>
      </w:pPr>
      <w:r>
        <w:t xml:space="preserve">How has the presence of listeria in food products changes over time (NCBI data)</w:t>
      </w:r>
    </w:p>
    <w:p>
      <w:pPr>
        <w:pStyle w:val="Compact"/>
        <w:numPr>
          <w:ilvl w:val="0"/>
          <w:numId w:val="1004"/>
        </w:numPr>
      </w:pPr>
      <w:r>
        <w:t xml:space="preserve">How has the rate of listeriosis cases changed over time</w:t>
      </w:r>
    </w:p>
    <w:p>
      <w:pPr>
        <w:pStyle w:val="Compact"/>
        <w:numPr>
          <w:ilvl w:val="0"/>
          <w:numId w:val="1004"/>
        </w:numPr>
      </w:pPr>
      <w:r>
        <w:t xml:space="preserve">How does the positive rate of food cases compare to the rate of listeriosis cases</w:t>
      </w:r>
    </w:p>
    <w:p>
      <w:pPr>
        <w:pStyle w:val="Compact"/>
        <w:numPr>
          <w:ilvl w:val="0"/>
          <w:numId w:val="1004"/>
        </w:numPr>
      </w:pPr>
      <w:r>
        <w:t xml:space="preserve">Comparing and contrasting the isolates found in food to the isolates found in clinical samples.</w:t>
      </w:r>
    </w:p>
    <w:p>
      <w:pPr>
        <w:pStyle w:val="Compact"/>
        <w:numPr>
          <w:ilvl w:val="0"/>
          <w:numId w:val="1004"/>
        </w:numPr>
      </w:pPr>
      <w:r>
        <w:t xml:space="preserve">What are some commonalities between establishments and locations where listeria is found and where cases are diagnosed</w:t>
      </w:r>
    </w:p>
    <w:p>
      <w:pPr>
        <w:pStyle w:val="Compact"/>
        <w:numPr>
          <w:ilvl w:val="0"/>
          <w:numId w:val="1004"/>
        </w:numPr>
      </w:pPr>
      <w:r>
        <w:t xml:space="preserve">Follow up to 4, are these large scale companies or small scale companies.</w:t>
      </w:r>
    </w:p>
    <w:p>
      <w:pPr>
        <w:pStyle w:val="Compact"/>
        <w:numPr>
          <w:ilvl w:val="0"/>
          <w:numId w:val="1004"/>
        </w:numPr>
      </w:pPr>
      <w:r>
        <w:t xml:space="preserve">Maybe a prediction model based to predict listeriosis cases based on number of positive isolates found?</w:t>
      </w:r>
    </w:p>
    <w:p>
      <w:r>
        <w:br w:type="page"/>
      </w:r>
    </w:p>
    <w:bookmarkEnd w:id="26"/>
    <w:bookmarkEnd w:id="27"/>
    <w:bookmarkStart w:id="35" w:name="methods"/>
    <w:p>
      <w:pPr>
        <w:pStyle w:val="Heading1"/>
      </w:pPr>
      <w:r>
        <w:t xml:space="preserve">4.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2" w:name="schematic-of-workflow"/>
    <w:p>
      <w:pPr>
        <w:pStyle w:val="Heading2"/>
      </w:pPr>
      <w:r>
        <w:t xml:space="preserve">4.1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import-and-cleaning"/>
    <w:p>
      <w:pPr>
        <w:pStyle w:val="Heading2"/>
      </w:pPr>
      <w:r>
        <w:t xml:space="preserve">4.2 Data import and cleaning</w:t>
      </w:r>
    </w:p>
    <w:p>
      <w:pPr>
        <w:pStyle w:val="FirstParagraph"/>
      </w:pPr>
      <w:r>
        <w:t xml:space="preserve">Before important the NCBI data, I filtered the data to what I wanted using the sites filters. I filtered data down to organism = Listeria monocytogenes, location = USA , this left me with 33,264 isolates.</w:t>
      </w:r>
    </w:p>
    <w:p>
      <w:pPr>
        <w:pStyle w:val="BodyText"/>
      </w:pPr>
      <w:r>
        <w:t xml:space="preserve">I will briefly use the NNDSS data because unfortunately, it is only availble from 2016 to 2022. The NCBI data containes clinical isolates that date farther back to we will consider those isolates to be</w:t>
      </w:r>
      <w:r>
        <w:t xml:space="preserve"> </w:t>
      </w:r>
      <w:r>
        <w:t xml:space="preserve">“cases”</w:t>
      </w:r>
      <w:r>
        <w:t xml:space="preserve">. Those cases are what we will compare to the source isolates (environmental, food, etc)</w:t>
      </w:r>
    </w:p>
    <w:p>
      <w:pPr>
        <w:pStyle w:val="BodyText"/>
      </w:pPr>
      <w:r>
        <w:t xml:space="preserve">The data cleaning code can be found in the processingfile under data-&gt;rawdata. The cleaning processed involved removing variables that I would not be using such as biosample numbers, assembly numbers, and variables that contained no data. Next I made some changes to date entries. They originally contained the time the isolate was uploaded so I removed that. I also created 2 new variables showing if the isolate was from a food sample or a clinical sample . The variable</w:t>
      </w:r>
      <w:r>
        <w:t xml:space="preserve"> </w:t>
      </w:r>
      <w:r>
        <w:t xml:space="preserve">“Clinical”</w:t>
      </w:r>
      <w:r>
        <w:t xml:space="preserve"> </w:t>
      </w:r>
      <w:r>
        <w:t xml:space="preserve">has a yes or no entry for if the sample is clinical, the same goes for the Food variable.</w:t>
      </w:r>
    </w:p>
    <w:bookmarkEnd w:id="33"/>
    <w:bookmarkStart w:id="34" w:name="statistical-analysis"/>
    <w:p>
      <w:pPr>
        <w:pStyle w:val="Heading2"/>
      </w:pPr>
      <w:r>
        <w:t xml:space="preserve">4.3 Statistical analysis</w:t>
      </w:r>
    </w:p>
    <w:p>
      <w:pPr>
        <w:pStyle w:val="FirstParagraph"/>
      </w:pPr>
      <w:r>
        <w:rPr>
          <w:i/>
          <w:iCs/>
        </w:rPr>
        <w:t xml:space="preserve">Explain anything related to your statistical analyses.</w:t>
      </w:r>
    </w:p>
    <w:p>
      <w:r>
        <w:br w:type="page"/>
      </w:r>
    </w:p>
    <w:bookmarkEnd w:id="34"/>
    <w:bookmarkEnd w:id="35"/>
    <w:bookmarkStart w:id="45" w:name="results"/>
    <w:p>
      <w:pPr>
        <w:pStyle w:val="Heading1"/>
      </w:pPr>
      <w:r>
        <w:t xml:space="preserve">5. Results</w:t>
      </w:r>
    </w:p>
    <w:bookmarkStart w:id="37" w:name="exploratorydescriptive-analysis"/>
    <w:p>
      <w:pPr>
        <w:pStyle w:val="Heading2"/>
      </w:pPr>
      <w:r>
        <w:t xml:space="preserve">5.1 Exploratory/Descriptive analysis</w:t>
      </w:r>
    </w:p>
    <w:p>
      <w:pPr>
        <w:pStyle w:val="FirstParagraph"/>
      </w:pPr>
      <w:r>
        <w:t xml:space="preserve">The full code for the EDA is under code-&gt;eda-code-&gt;eda.qmd</w:t>
      </w:r>
    </w:p>
    <w:p>
      <w:pPr>
        <w:pStyle w:val="BodyText"/>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279"/>
              <w:gridCol w:w="559"/>
              <w:gridCol w:w="279"/>
              <w:gridCol w:w="391"/>
              <w:gridCol w:w="307"/>
              <w:gridCol w:w="307"/>
              <w:gridCol w:w="335"/>
              <w:gridCol w:w="391"/>
              <w:gridCol w:w="391"/>
              <w:gridCol w:w="391"/>
              <w:gridCol w:w="447"/>
              <w:gridCol w:w="531"/>
              <w:gridCol w:w="587"/>
              <w:gridCol w:w="363"/>
              <w:gridCol w:w="307"/>
              <w:gridCol w:w="307"/>
              <w:gridCol w:w="335"/>
              <w:gridCol w:w="335"/>
              <w:gridCol w:w="335"/>
              <w:gridCol w:w="363"/>
              <w:gridCol w:w="363"/>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Date.min</w:t>
                  </w:r>
                </w:p>
              </w:tc>
              <w:tc>
                <w:tcPr/>
                <w:p>
                  <w:pPr>
                    <w:pStyle w:val="Compact"/>
                    <w:jc w:val="left"/>
                    <w:jc w:val="center"/>
                  </w:pPr>
                  <w:r>
                    <w:t xml:space="preserve">Date.max</w:t>
                  </w:r>
                </w:p>
              </w:tc>
              <w:tc>
                <w:tcPr/>
                <w:p>
                  <w:pPr>
                    <w:pStyle w:val="Compact"/>
                    <w:jc w:val="left"/>
                    <w:jc w:val="center"/>
                  </w:pPr>
                  <w:r>
                    <w:t xml:space="preserve">Date.median</w:t>
                  </w:r>
                </w:p>
              </w:tc>
              <w:tc>
                <w:tcPr/>
                <w:p>
                  <w:pPr>
                    <w:pStyle w:val="Compact"/>
                    <w:jc w:val="right"/>
                    <w:jc w:val="center"/>
                  </w:pPr>
                  <w:r>
                    <w:t xml:space="preserve">Date.n_unique</w:t>
                  </w:r>
                </w:p>
              </w:tc>
              <w:tc>
                <w:tcPr/>
                <w:p>
                  <w:pPr>
                    <w:pStyle w:val="Compact"/>
                    <w:jc w:val="right"/>
                    <w:jc w:val="center"/>
                  </w:pPr>
                  <w:r>
                    <w:t xml:space="preserve">character.min</w:t>
                  </w:r>
                </w:p>
              </w:tc>
              <w:tc>
                <w:tcPr/>
                <w:p>
                  <w:pPr>
                    <w:pStyle w:val="Compact"/>
                    <w:jc w:val="right"/>
                    <w:jc w:val="center"/>
                  </w:pPr>
                  <w:r>
                    <w:t xml:space="preserve">character.max</w:t>
                  </w:r>
                </w:p>
              </w:tc>
              <w:tc>
                <w:tcPr/>
                <w:p>
                  <w:pPr>
                    <w:pStyle w:val="Compact"/>
                    <w:jc w:val="right"/>
                    <w:jc w:val="center"/>
                  </w:pPr>
                  <w:r>
                    <w:t xml:space="preserve">character.empty</w:t>
                  </w:r>
                </w:p>
              </w:tc>
              <w:tc>
                <w:tcPr/>
                <w:p>
                  <w:pPr>
                    <w:pStyle w:val="Compact"/>
                    <w:jc w:val="right"/>
                    <w:jc w:val="center"/>
                  </w:pPr>
                  <w:r>
                    <w:t xml:space="preserve">character.n_unique</w:t>
                  </w:r>
                </w:p>
              </w:tc>
              <w:tc>
                <w:tcPr/>
                <w:p>
                  <w:pPr>
                    <w:pStyle w:val="Compact"/>
                    <w:jc w:val="right"/>
                    <w:jc w:val="center"/>
                  </w:pPr>
                  <w:r>
                    <w:t xml:space="preserve">character.whitespace</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Date</w:t>
                  </w:r>
                </w:p>
              </w:tc>
              <w:tc>
                <w:tcPr/>
                <w:p>
                  <w:pPr>
                    <w:pStyle w:val="Compact"/>
                    <w:jc w:val="left"/>
                    <w:jc w:val="center"/>
                  </w:pPr>
                  <w:r>
                    <w:t xml:space="preserve">Create date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2011-05-10</w:t>
                  </w:r>
                </w:p>
              </w:tc>
              <w:tc>
                <w:tcPr/>
                <w:p>
                  <w:pPr>
                    <w:pStyle w:val="Compact"/>
                    <w:jc w:val="left"/>
                    <w:jc w:val="center"/>
                  </w:pPr>
                  <w:r>
                    <w:t xml:space="preserve">2024-12-31</w:t>
                  </w:r>
                </w:p>
              </w:tc>
              <w:tc>
                <w:tcPr/>
                <w:p>
                  <w:pPr>
                    <w:pStyle w:val="Compact"/>
                    <w:jc w:val="left"/>
                    <w:jc w:val="center"/>
                  </w:pPr>
                  <w:r>
                    <w:t xml:space="preserve">2019-05-14</w:t>
                  </w:r>
                </w:p>
              </w:tc>
              <w:tc>
                <w:tcPr/>
                <w:p>
                  <w:pPr>
                    <w:pStyle w:val="Compact"/>
                    <w:jc w:val="right"/>
                    <w:jc w:val="center"/>
                  </w:pPr>
                  <w:r>
                    <w:t xml:space="preserve">2502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#Organism group</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22</w:t>
                  </w:r>
                </w:p>
              </w:tc>
              <w:tc>
                <w:tcPr/>
                <w:p>
                  <w:pPr>
                    <w:pStyle w:val="Compact"/>
                    <w:jc w:val="right"/>
                    <w:jc w:val="center"/>
                  </w:pPr>
                  <w:r>
                    <w:t xml:space="preserve">22</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Strain</w:t>
                  </w:r>
                </w:p>
              </w:tc>
              <w:tc>
                <w:tcPr/>
                <w:p>
                  <w:pPr>
                    <w:pStyle w:val="Compact"/>
                    <w:jc w:val="right"/>
                    <w:jc w:val="center"/>
                  </w:pPr>
                  <w:r>
                    <w:t xml:space="preserve">1092</w:t>
                  </w:r>
                </w:p>
              </w:tc>
              <w:tc>
                <w:tcPr/>
                <w:p>
                  <w:pPr>
                    <w:pStyle w:val="Compact"/>
                    <w:jc w:val="right"/>
                    <w:jc w:val="center"/>
                  </w:pPr>
                  <w:r>
                    <w:t xml:space="preserve">0.9667883</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28</w:t>
                  </w:r>
                </w:p>
              </w:tc>
              <w:tc>
                <w:tcPr/>
                <w:p>
                  <w:pPr>
                    <w:pStyle w:val="Compact"/>
                    <w:jc w:val="right"/>
                    <w:jc w:val="center"/>
                  </w:pPr>
                  <w:r>
                    <w:t xml:space="preserve">0</w:t>
                  </w:r>
                </w:p>
              </w:tc>
              <w:tc>
                <w:tcPr/>
                <w:p>
                  <w:pPr>
                    <w:pStyle w:val="Compact"/>
                    <w:jc w:val="right"/>
                    <w:jc w:val="center"/>
                  </w:pPr>
                  <w:r>
                    <w:t xml:space="preserve">31714</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Isolate identifiers</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5</w:t>
                  </w:r>
                </w:p>
              </w:tc>
              <w:tc>
                <w:tcPr/>
                <w:p>
                  <w:pPr>
                    <w:pStyle w:val="Compact"/>
                    <w:jc w:val="right"/>
                    <w:jc w:val="center"/>
                  </w:pPr>
                  <w:r>
                    <w:t xml:space="preserve">110</w:t>
                  </w:r>
                </w:p>
              </w:tc>
              <w:tc>
                <w:tcPr/>
                <w:p>
                  <w:pPr>
                    <w:pStyle w:val="Compact"/>
                    <w:jc w:val="right"/>
                    <w:jc w:val="center"/>
                  </w:pPr>
                  <w:r>
                    <w:t xml:space="preserve">0</w:t>
                  </w:r>
                </w:p>
              </w:tc>
              <w:tc>
                <w:tcPr/>
                <w:p>
                  <w:pPr>
                    <w:pStyle w:val="Compact"/>
                    <w:jc w:val="right"/>
                    <w:jc w:val="center"/>
                  </w:pPr>
                  <w:r>
                    <w:t xml:space="preserve">32854</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Isolate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14</w:t>
                  </w:r>
                </w:p>
              </w:tc>
              <w:tc>
                <w:tcPr/>
                <w:p>
                  <w:pPr>
                    <w:pStyle w:val="Compact"/>
                    <w:jc w:val="right"/>
                    <w:jc w:val="center"/>
                  </w:pPr>
                  <w:r>
                    <w:t xml:space="preserve">15</w:t>
                  </w:r>
                </w:p>
              </w:tc>
              <w:tc>
                <w:tcPr/>
                <w:p>
                  <w:pPr>
                    <w:pStyle w:val="Compact"/>
                    <w:jc w:val="right"/>
                    <w:jc w:val="center"/>
                  </w:pPr>
                  <w:r>
                    <w:t xml:space="preserve">0</w:t>
                  </w:r>
                </w:p>
              </w:tc>
              <w:tc>
                <w:tcPr/>
                <w:p>
                  <w:pPr>
                    <w:pStyle w:val="Compact"/>
                    <w:jc w:val="right"/>
                    <w:jc w:val="center"/>
                  </w:pPr>
                  <w:r>
                    <w:t xml:space="preserve">32880</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Location</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24</w:t>
                  </w:r>
                </w:p>
              </w:tc>
              <w:tc>
                <w:tcPr/>
                <w:p>
                  <w:pPr>
                    <w:pStyle w:val="Compact"/>
                    <w:jc w:val="right"/>
                    <w:jc w:val="center"/>
                  </w:pPr>
                  <w:r>
                    <w:t xml:space="preserve">0</w:t>
                  </w:r>
                </w:p>
              </w:tc>
              <w:tc>
                <w:tcPr/>
                <w:p>
                  <w:pPr>
                    <w:pStyle w:val="Compact"/>
                    <w:jc w:val="right"/>
                    <w:jc w:val="center"/>
                  </w:pPr>
                  <w:r>
                    <w:t xml:space="preserve">110</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Isolation source</w:t>
                  </w:r>
                </w:p>
              </w:tc>
              <w:tc>
                <w:tcPr/>
                <w:p>
                  <w:pPr>
                    <w:pStyle w:val="Compact"/>
                    <w:jc w:val="right"/>
                    <w:jc w:val="center"/>
                  </w:pPr>
                  <w:r>
                    <w:t xml:space="preserve">7041</w:t>
                  </w:r>
                </w:p>
              </w:tc>
              <w:tc>
                <w:tcPr/>
                <w:p>
                  <w:pPr>
                    <w:pStyle w:val="Compact"/>
                    <w:jc w:val="right"/>
                    <w:jc w:val="center"/>
                  </w:pPr>
                  <w:r>
                    <w:t xml:space="preserve">0.7858577</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157</w:t>
                  </w:r>
                </w:p>
              </w:tc>
              <w:tc>
                <w:tcPr/>
                <w:p>
                  <w:pPr>
                    <w:pStyle w:val="Compact"/>
                    <w:jc w:val="right"/>
                    <w:jc w:val="center"/>
                  </w:pPr>
                  <w:r>
                    <w:t xml:space="preserve">0</w:t>
                  </w:r>
                </w:p>
              </w:tc>
              <w:tc>
                <w:tcPr/>
                <w:p>
                  <w:pPr>
                    <w:pStyle w:val="Compact"/>
                    <w:jc w:val="right"/>
                    <w:jc w:val="center"/>
                  </w:pPr>
                  <w:r>
                    <w:t xml:space="preserve">2743</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Isolation type</w:t>
                  </w:r>
                </w:p>
              </w:tc>
              <w:tc>
                <w:tcPr/>
                <w:p>
                  <w:pPr>
                    <w:pStyle w:val="Compact"/>
                    <w:jc w:val="right"/>
                    <w:jc w:val="center"/>
                  </w:pPr>
                  <w:r>
                    <w:t xml:space="preserve">787</w:t>
                  </w:r>
                </w:p>
              </w:tc>
              <w:tc>
                <w:tcPr/>
                <w:p>
                  <w:pPr>
                    <w:pStyle w:val="Compact"/>
                    <w:jc w:val="right"/>
                    <w:jc w:val="center"/>
                  </w:pPr>
                  <w:r>
                    <w:t xml:space="preserve">0.9760645</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5</w:t>
                  </w:r>
                </w:p>
              </w:tc>
              <w:tc>
                <w:tcPr/>
                <w:p>
                  <w:pPr>
                    <w:pStyle w:val="Compact"/>
                    <w:jc w:val="right"/>
                    <w:jc w:val="center"/>
                  </w:pPr>
                  <w:r>
                    <w:t xml:space="preserve">58</w:t>
                  </w:r>
                </w:p>
              </w:tc>
              <w:tc>
                <w:tcPr/>
                <w:p>
                  <w:pPr>
                    <w:pStyle w:val="Compact"/>
                    <w:jc w:val="right"/>
                    <w:jc w:val="center"/>
                  </w:pPr>
                  <w:r>
                    <w:t xml:space="preserve">0</w:t>
                  </w:r>
                </w:p>
              </w:tc>
              <w:tc>
                <w:tcPr/>
                <w:p>
                  <w:pPr>
                    <w:pStyle w:val="Compact"/>
                    <w:jc w:val="right"/>
                    <w:jc w:val="center"/>
                  </w:pPr>
                  <w:r>
                    <w:t xml:space="preserve">55</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Food origin</w:t>
                  </w:r>
                </w:p>
              </w:tc>
              <w:tc>
                <w:tcPr/>
                <w:p>
                  <w:pPr>
                    <w:pStyle w:val="Compact"/>
                    <w:jc w:val="right"/>
                    <w:jc w:val="center"/>
                  </w:pPr>
                  <w:r>
                    <w:t xml:space="preserve">15861</w:t>
                  </w:r>
                </w:p>
              </w:tc>
              <w:tc>
                <w:tcPr/>
                <w:p>
                  <w:pPr>
                    <w:pStyle w:val="Compact"/>
                    <w:jc w:val="right"/>
                    <w:jc w:val="center"/>
                  </w:pPr>
                  <w:r>
                    <w:t xml:space="preserve">0.5176095</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26</w:t>
                  </w:r>
                </w:p>
              </w:tc>
              <w:tc>
                <w:tcPr/>
                <w:p>
                  <w:pPr>
                    <w:pStyle w:val="Compact"/>
                    <w:jc w:val="right"/>
                    <w:jc w:val="center"/>
                  </w:pPr>
                  <w:r>
                    <w:t xml:space="preserve">0</w:t>
                  </w:r>
                </w:p>
              </w:tc>
              <w:tc>
                <w:tcPr/>
                <w:p>
                  <w:pPr>
                    <w:pStyle w:val="Compact"/>
                    <w:jc w:val="right"/>
                    <w:jc w:val="center"/>
                  </w:pPr>
                  <w:r>
                    <w:t xml:space="preserve">110</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SNP cluster</w:t>
                  </w:r>
                </w:p>
              </w:tc>
              <w:tc>
                <w:tcPr/>
                <w:p>
                  <w:pPr>
                    <w:pStyle w:val="Compact"/>
                    <w:jc w:val="right"/>
                    <w:jc w:val="center"/>
                  </w:pPr>
                  <w:r>
                    <w:t xml:space="preserve">5603</w:t>
                  </w:r>
                </w:p>
              </w:tc>
              <w:tc>
                <w:tcPr/>
                <w:p>
                  <w:pPr>
                    <w:pStyle w:val="Compact"/>
                    <w:jc w:val="right"/>
                    <w:jc w:val="center"/>
                  </w:pPr>
                  <w:r>
                    <w:t xml:space="preserve">0.8295925</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6</w:t>
                  </w:r>
                </w:p>
              </w:tc>
              <w:tc>
                <w:tcPr/>
                <w:p>
                  <w:pPr>
                    <w:pStyle w:val="Compact"/>
                    <w:jc w:val="right"/>
                    <w:jc w:val="center"/>
                  </w:pPr>
                  <w:r>
                    <w:t xml:space="preserve">19</w:t>
                  </w:r>
                </w:p>
              </w:tc>
              <w:tc>
                <w:tcPr/>
                <w:p>
                  <w:pPr>
                    <w:pStyle w:val="Compact"/>
                    <w:jc w:val="right"/>
                    <w:jc w:val="center"/>
                  </w:pPr>
                  <w:r>
                    <w:t xml:space="preserve">0</w:t>
                  </w:r>
                </w:p>
              </w:tc>
              <w:tc>
                <w:tcPr/>
                <w:p>
                  <w:pPr>
                    <w:pStyle w:val="Compact"/>
                    <w:jc w:val="right"/>
                    <w:jc w:val="center"/>
                  </w:pPr>
                  <w:r>
                    <w:t xml:space="preserve">3098</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AMR genotypes</w:t>
                  </w:r>
                </w:p>
              </w:tc>
              <w:tc>
                <w:tcPr/>
                <w:p>
                  <w:pPr>
                    <w:pStyle w:val="Compact"/>
                    <w:jc w:val="right"/>
                    <w:jc w:val="center"/>
                  </w:pPr>
                  <w:r>
                    <w:t xml:space="preserve">30</w:t>
                  </w:r>
                </w:p>
              </w:tc>
              <w:tc>
                <w:tcPr/>
                <w:p>
                  <w:pPr>
                    <w:pStyle w:val="Compact"/>
                    <w:jc w:val="right"/>
                    <w:jc w:val="center"/>
                  </w:pPr>
                  <w:r>
                    <w:t xml:space="preserve">0.9990876</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12</w:t>
                  </w:r>
                </w:p>
              </w:tc>
              <w:tc>
                <w:tcPr/>
                <w:p>
                  <w:pPr>
                    <w:pStyle w:val="Compact"/>
                    <w:jc w:val="right"/>
                    <w:jc w:val="center"/>
                  </w:pPr>
                  <w:r>
                    <w:t xml:space="preserve">216</w:t>
                  </w:r>
                </w:p>
              </w:tc>
              <w:tc>
                <w:tcPr/>
                <w:p>
                  <w:pPr>
                    <w:pStyle w:val="Compact"/>
                    <w:jc w:val="right"/>
                    <w:jc w:val="center"/>
                  </w:pPr>
                  <w:r>
                    <w:t xml:space="preserve">0</w:t>
                  </w:r>
                </w:p>
              </w:tc>
              <w:tc>
                <w:tcPr/>
                <w:p>
                  <w:pPr>
                    <w:pStyle w:val="Compact"/>
                    <w:jc w:val="right"/>
                    <w:jc w:val="center"/>
                  </w:pPr>
                  <w:r>
                    <w:t xml:space="preserve">252</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clinical</w:t>
                  </w:r>
                </w:p>
              </w:tc>
              <w:tc>
                <w:tcPr/>
                <w:p>
                  <w:pPr>
                    <w:pStyle w:val="Compact"/>
                    <w:jc w:val="right"/>
                    <w:jc w:val="center"/>
                  </w:pPr>
                  <w:r>
                    <w:t xml:space="preserve">787</w:t>
                  </w:r>
                </w:p>
              </w:tc>
              <w:tc>
                <w:tcPr/>
                <w:p>
                  <w:pPr>
                    <w:pStyle w:val="Compact"/>
                    <w:jc w:val="right"/>
                    <w:jc w:val="center"/>
                  </w:pPr>
                  <w:r>
                    <w:t xml:space="preserve">0.9760645</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food</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Min-same</w:t>
                  </w:r>
                </w:p>
              </w:tc>
              <w:tc>
                <w:tcPr/>
                <w:p>
                  <w:pPr>
                    <w:pStyle w:val="Compact"/>
                    <w:jc w:val="right"/>
                    <w:jc w:val="center"/>
                  </w:pPr>
                  <w:r>
                    <w:t xml:space="preserve">6725</w:t>
                  </w:r>
                </w:p>
              </w:tc>
              <w:tc>
                <w:tcPr/>
                <w:p>
                  <w:pPr>
                    <w:pStyle w:val="Compact"/>
                    <w:jc w:val="right"/>
                    <w:jc w:val="center"/>
                  </w:pPr>
                  <w:r>
                    <w:t xml:space="preserve">0.7954684</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5.272567</w:t>
                  </w:r>
                </w:p>
              </w:tc>
              <w:tc>
                <w:tcPr/>
                <w:p>
                  <w:pPr>
                    <w:pStyle w:val="Compact"/>
                    <w:jc w:val="right"/>
                    <w:jc w:val="center"/>
                  </w:pPr>
                  <w:r>
                    <w:t xml:space="preserve">7.858745</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7</w:t>
                  </w:r>
                </w:p>
              </w:tc>
              <w:tc>
                <w:tcPr/>
                <w:p>
                  <w:pPr>
                    <w:pStyle w:val="Compact"/>
                    <w:jc w:val="right"/>
                    <w:jc w:val="center"/>
                  </w:pPr>
                  <w:r>
                    <w:t xml:space="preserve">57</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Min-diff</w:t>
                  </w:r>
                </w:p>
              </w:tc>
              <w:tc>
                <w:tcPr/>
                <w:p>
                  <w:pPr>
                    <w:pStyle w:val="Compact"/>
                    <w:jc w:val="right"/>
                    <w:jc w:val="center"/>
                  </w:pPr>
                  <w:r>
                    <w:t xml:space="preserve">15215</w:t>
                  </w:r>
                </w:p>
              </w:tc>
              <w:tc>
                <w:tcPr/>
                <w:p>
                  <w:pPr>
                    <w:pStyle w:val="Compact"/>
                    <w:jc w:val="right"/>
                    <w:jc w:val="center"/>
                  </w:pPr>
                  <w:r>
                    <w:t xml:space="preserve">0.5372567</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16.506255</w:t>
                  </w:r>
                </w:p>
              </w:tc>
              <w:tc>
                <w:tcPr/>
                <w:p>
                  <w:pPr>
                    <w:pStyle w:val="Compact"/>
                    <w:jc w:val="right"/>
                    <w:jc w:val="center"/>
                  </w:pPr>
                  <w:r>
                    <w:t xml:space="preserve">12.026130</w:t>
                  </w:r>
                </w:p>
              </w:tc>
              <w:tc>
                <w:tcPr/>
                <w:p>
                  <w:pPr>
                    <w:pStyle w:val="Compact"/>
                    <w:jc w:val="right"/>
                    <w:jc w:val="center"/>
                  </w:pPr>
                  <w:r>
                    <w:t xml:space="preserve">0</w:t>
                  </w:r>
                </w:p>
              </w:tc>
              <w:tc>
                <w:tcPr/>
                <w:p>
                  <w:pPr>
                    <w:pStyle w:val="Compact"/>
                    <w:jc w:val="right"/>
                    <w:jc w:val="center"/>
                  </w:pPr>
                  <w:r>
                    <w:t xml:space="preserve">6</w:t>
                  </w:r>
                </w:p>
              </w:tc>
              <w:tc>
                <w:tcPr/>
                <w:p>
                  <w:pPr>
                    <w:pStyle w:val="Compact"/>
                    <w:jc w:val="right"/>
                    <w:jc w:val="center"/>
                  </w:pPr>
                  <w:r>
                    <w:t xml:space="preserve">16</w:t>
                  </w:r>
                </w:p>
              </w:tc>
              <w:tc>
                <w:tcPr/>
                <w:p>
                  <w:pPr>
                    <w:pStyle w:val="Compact"/>
                    <w:jc w:val="right"/>
                    <w:jc w:val="center"/>
                  </w:pPr>
                  <w:r>
                    <w:t xml:space="preserve">26</w:t>
                  </w:r>
                </w:p>
              </w:tc>
              <w:tc>
                <w:tcPr/>
                <w:p>
                  <w:pPr>
                    <w:pStyle w:val="Compact"/>
                    <w:jc w:val="right"/>
                    <w:jc w:val="center"/>
                  </w:pPr>
                  <w:r>
                    <w:t xml:space="preserve">67</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6. Discussion</w:t>
      </w:r>
    </w:p>
    <w:bookmarkStart w:id="46"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7. References</w:t>
      </w:r>
    </w:p>
    <w:bookmarkStart w:id="57" w:name="refs"/>
    <w:bookmarkStart w:id="52" w:name="ref-leek2015"/>
    <w:p>
      <w:pPr>
        <w:pStyle w:val="Bibliography"/>
      </w:pPr>
      <w:r>
        <w:t xml:space="preserve">1.</w:t>
      </w:r>
      <w:r>
        <w:t xml:space="preserve"> </w:t>
      </w:r>
      <w:r>
        <w:t xml:space="preserve">	</w:t>
      </w:r>
      <w:r>
        <w:t xml:space="preserve">Leek JT, Peng RD.</w:t>
      </w:r>
      <w:r>
        <w:t xml:space="preserve"> </w:t>
      </w:r>
      <w:hyperlink r:id="rId5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2"/>
    <w:bookmarkStart w:id="54" w:name="ref-mckay2020"/>
    <w:p>
      <w:pPr>
        <w:pStyle w:val="Bibliography"/>
      </w:pPr>
      <w:r>
        <w:t xml:space="preserve">2.</w:t>
      </w:r>
      <w:r>
        <w:t xml:space="preserve"> </w:t>
      </w:r>
      <w:r>
        <w:t xml:space="preserve">	</w:t>
      </w:r>
      <w:r>
        <w:t xml:space="preserve">McKay B, Ebell M, Billings WZ, et al.</w:t>
      </w:r>
      <w:r>
        <w:t xml:space="preserve"> </w:t>
      </w:r>
      <w:hyperlink r:id="rId5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4"/>
    <w:bookmarkStart w:id="56" w:name="ref-mckay2020a"/>
    <w:p>
      <w:pPr>
        <w:pStyle w:val="Bibliography"/>
      </w:pPr>
      <w:r>
        <w:t xml:space="preserve">3.</w:t>
      </w:r>
      <w:r>
        <w:t xml:space="preserve"> </w:t>
      </w:r>
      <w:r>
        <w:t xml:space="preserve">	</w:t>
      </w:r>
      <w:r>
        <w:t xml:space="preserve">McKay B, Ebell M, Dale AP, et al.</w:t>
      </w:r>
      <w:r>
        <w:t xml:space="preserve"> </w:t>
      </w:r>
      <w:hyperlink r:id="rId5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clinical and non-clinical(food) Listeria monocytogenes isolates</dc:title>
  <dc:creator>Alexis Gonzalez</dc:creator>
  <cp:keywords/>
  <dcterms:created xsi:type="dcterms:W3CDTF">2025-03-20T16:55:41Z</dcterms:created>
  <dcterms:modified xsi:type="dcterms:W3CDTF">2025-03-20T16:55:41Z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