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Calibri" w:cs="Calibri" w:eastAsia="Calibri" w:hAnsi="Calibri"/>
          <w:b/>
          <w:bCs/>
          <w:color w:val="1F3A5F"/>
          <w:spacing w:val="40"/>
          <w:sz w:val="44"/>
          <w:szCs w:val="44"/>
        </w:rPr>
        <w:t xml:space="preserve">LLI</w:t>
      </w:r>
      <w:r>
        <w:rPr>
          <w:rFonts w:ascii="Calibri" w:cs="Calibri" w:eastAsia="Calibri" w:hAnsi="Calibri"/>
          <w:color w:val="C9D1DB"/>
          <w:sz w:val="26"/>
          <w:szCs w:val="26"/>
        </w:rPr>
        <w:t xml:space="preserve">   |   </w:t>
      </w:r>
      <w:r>
        <w:rPr>
          <w:rFonts w:ascii="Calibri" w:cs="Calibri" w:eastAsia="Calibri" w:hAnsi="Calibri"/>
          <w:color w:val="4A5A6E"/>
          <w:spacing w:val="60"/>
          <w:sz w:val="18"/>
          <w:szCs w:val="18"/>
        </w:rPr>
        <w:t xml:space="preserve">LEXILINK IDEATION</w:t>
      </w:r>
    </w:p>
    <w:p>
      <w:pPr>
        <w:pBdr>
          <w:bottom w:val="single" w:color="1F3A5F" w:sz="12" w:space="1"/>
        </w:pBdr>
        <w:spacing w:after="200" w:before="0" w:line="264"/>
      </w:pPr>
    </w:p>
    <w:p>
      <w:pPr>
        <w:spacing w:after="40" w:before="0" w:line="264"/>
      </w:pPr>
      <w:r>
        <w:rPr>
          <w:rFonts w:ascii="Calibri" w:cs="Calibri" w:eastAsia="Calibri" w:hAnsi="Calibri"/>
          <w:b/>
          <w:bCs/>
          <w:color w:val="1F3A5F"/>
          <w:sz w:val="48"/>
          <w:szCs w:val="48"/>
        </w:rPr>
        <w:t xml:space="preserve">Grammar Mastery Checklist</w:t>
      </w:r>
    </w:p>
    <w:p>
      <w:pPr>
        <w:spacing w:after="280" w:before="0" w:line="264"/>
      </w:pPr>
      <w:r>
        <w:rPr>
          <w:rFonts w:ascii="Calibri" w:cs="Calibri" w:eastAsia="Calibri" w:hAnsi="Calibri"/>
          <w:b/>
          <w:bCs/>
          <w:color w:val="8A6A2E"/>
          <w:sz w:val="30"/>
          <w:szCs w:val="30"/>
        </w:rPr>
        <w:t xml:space="preserve">CEFR Level B1</w:t>
      </w:r>
      <w:r>
        <w:rPr>
          <w:rFonts w:ascii="Calibri" w:cs="Calibri" w:eastAsia="Calibri" w:hAnsi="Calibri"/>
          <w:color w:val="4A5A6E"/>
          <w:sz w:val="26"/>
          <w:szCs w:val="26"/>
        </w:rPr>
        <w:t xml:space="preserve">   ·   Threshold</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500"/>
        <w:gridCol w:w="3319"/>
        <w:gridCol w:w="1500"/>
        <w:gridCol w:w="3319"/>
      </w:tblGrid>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r>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Class / group</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c>
          <w:tcPr>
            <w:tcW w:type="dxa" w:w="1500"/>
            <w:tcBorders>
              <w:top w:val="none" w:color="FFFFFF" w:sz="0"/>
              <w:left w:val="none" w:color="FFFFFF" w:sz="0"/>
              <w:bottom w:val="none" w:color="FFFFFF" w:sz="0"/>
              <w:right w:val="none" w:color="FFFFFF" w:sz="0"/>
            </w:tcBorders>
            <w:tcMar>
              <w:top w:type="dxa" w:w="12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Start date</w:t>
            </w:r>
          </w:p>
        </w:tc>
        <w:tc>
          <w:tcPr>
            <w:tcW w:type="dxa" w:w="3319"/>
            <w:tcBorders>
              <w:top w:val="none" w:color="FFFFFF" w:sz="0"/>
              <w:left w:val="none" w:color="FFFFFF" w:sz="0"/>
              <w:bottom w:val="single" w:color="C9D1DB" w:sz="4"/>
              <w:right w:val="none" w:color="FFFFFF" w:sz="0"/>
            </w:tcBorders>
            <w:tcMar>
              <w:top w:type="dxa" w:w="12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t>
            </w:r>
          </w:p>
        </w:tc>
      </w:tr>
    </w:tbl>
    <w:p>
      <w:pPr>
        <w:spacing w:after="120" w:before="0" w:line="264"/>
      </w:pPr>
      <w:r>
        <w:rPr>
          <w:rFonts w:ascii="Calibri" w:cs="Calibri" w:eastAsia="Calibri" w:hAnsi="Calibri"/>
          <w:color w:val="222B36"/>
          <w:sz w:val="20"/>
          <w:szCs w:val="20"/>
        </w:rPr>
        <w:t xml:space="preserve"/>
      </w:r>
    </w:p>
    <w:p>
      <w:pPr>
        <w:keepNext/>
        <w:spacing w:after="120" w:before="120" w:line="264"/>
      </w:pPr>
      <w:r>
        <w:rPr>
          <w:rFonts w:ascii="Calibri" w:cs="Calibri" w:eastAsia="Calibri" w:hAnsi="Calibri"/>
          <w:b/>
          <w:bCs/>
          <w:color w:val="1F3A5F"/>
          <w:sz w:val="30"/>
          <w:szCs w:val="30"/>
        </w:rPr>
        <w:t xml:space="preserve">How to use this checklist</w:t>
      </w:r>
    </w:p>
    <w:p>
      <w:pPr>
        <w:spacing w:after="120" w:before="0" w:line="264"/>
      </w:pPr>
      <w:r>
        <w:rPr>
          <w:rFonts w:ascii="Calibri" w:cs="Calibri" w:eastAsia="Calibri" w:hAnsi="Calibri"/>
          <w:color w:val="222B36"/>
          <w:sz w:val="20"/>
          <w:szCs w:val="20"/>
        </w:rPr>
        <w:t xml:space="preserve">This checklist sets out 38 core grammar competencies for CEFR B1. Each competency corresponds approximately to one focused teaching session, and the items are ordered pedagogically so that earlier points support later ones. Teachers may adjust pacing, combine sessions or revisit points as needed.</w:t>
      </w:r>
    </w:p>
    <w:p>
      <w:pPr>
        <w:keepNext/>
        <w:spacing w:after="80" w:before="240" w:line="264"/>
      </w:pPr>
      <w:r>
        <w:rPr>
          <w:rFonts w:ascii="Calibri" w:cs="Calibri" w:eastAsia="Calibri" w:hAnsi="Calibri"/>
          <w:b/>
          <w:bCs/>
          <w:color w:val="1F3A5F"/>
          <w:sz w:val="23"/>
          <w:szCs w:val="23"/>
        </w:rPr>
        <w:t xml:space="preserve">Completion does not equal mastery</w:t>
      </w:r>
    </w:p>
    <w:p>
      <w:pPr>
        <w:spacing w:after="100" w:before="0" w:line="264"/>
      </w:pPr>
      <w:r>
        <w:rPr>
          <w:rFonts w:ascii="Calibri" w:cs="Calibri" w:eastAsia="Calibri" w:hAnsi="Calibri"/>
          <w:color w:val="222B36"/>
          <w:sz w:val="20"/>
          <w:szCs w:val="20"/>
        </w:rPr>
        <w:t xml:space="preserve">Covering a grammar point in class is only the first step. A student may have attended every session and still need further practice before using a structure reliably. For this reason, progress is recorded in three stages, in order:</w:t>
      </w:r>
    </w:p>
    <w:p>
      <w:pPr>
        <w:spacing w:after="140" w:before="60" w:line="264"/>
        <w:jc w:val="center"/>
      </w:pPr>
      <w:r>
        <w:rPr>
          <w:rFonts w:ascii="Calibri" w:cs="Calibri" w:eastAsia="Calibri" w:hAnsi="Calibri"/>
          <w:b/>
          <w:bCs/>
          <w:color w:val="1F3A5F"/>
          <w:sz w:val="20"/>
          <w:szCs w:val="20"/>
        </w:rPr>
        <w:t xml:space="preserve">Introduced</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Practising</w:t>
      </w:r>
      <w:r>
        <w:rPr>
          <w:rFonts w:ascii="Calibri" w:cs="Calibri" w:eastAsia="Calibri" w:hAnsi="Calibri"/>
          <w:color w:val="7A8796"/>
          <w:sz w:val="20"/>
          <w:szCs w:val="20"/>
        </w:rPr>
        <w:t xml:space="preserve">   →   </w:t>
      </w:r>
      <w:r>
        <w:rPr>
          <w:rFonts w:ascii="Calibri" w:cs="Calibri" w:eastAsia="Calibri" w:hAnsi="Calibri"/>
          <w:b/>
          <w:bCs/>
          <w:color w:val="1F3A5F"/>
          <w:sz w:val="20"/>
          <w:szCs w:val="20"/>
        </w:rPr>
        <w:t xml:space="preserve">Mastered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rPr>
        <w:tc>
          <w:tcPr>
            <w:tcW w:type="dxa" w:w="1900"/>
            <w:tcBorders>
              <w:top w:val="single" w:color="C9D1DB" w:sz="4"/>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1  </w:t>
            </w:r>
            <w:r>
              <w:rPr>
                <w:rFonts w:ascii="Calibri" w:cs="Calibri" w:eastAsia="Calibri" w:hAnsi="Calibri"/>
                <w:b/>
                <w:bCs/>
                <w:color w:val="1F3A5F"/>
                <w:sz w:val="20"/>
                <w:szCs w:val="20"/>
              </w:rPr>
              <w:t xml:space="preserve">Introduced</w:t>
            </w:r>
          </w:p>
        </w:tc>
        <w:tc>
          <w:tcPr>
            <w:tcW w:type="dxa" w:w="7738"/>
            <w:tcBorders>
              <w:top w:val="single" w:color="C9D1DB" w:sz="4"/>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structure has been taught. The student understands its form and meaning and can use it with support and examples.</w:t>
            </w:r>
          </w:p>
        </w:tc>
      </w:tr>
      <w:tr>
        <w:trPr>
          <w:cantSplit/>
        </w:trPr>
        <w:tc>
          <w:tcPr>
            <w:tcW w:type="dxa" w:w="190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2  </w:t>
            </w:r>
            <w:r>
              <w:rPr>
                <w:rFonts w:ascii="Calibri" w:cs="Calibri" w:eastAsia="Calibri" w:hAnsi="Calibri"/>
                <w:b/>
                <w:bCs/>
                <w:color w:val="1F3A5F"/>
                <w:sz w:val="20"/>
                <w:szCs w:val="20"/>
              </w:rPr>
              <w:t xml:space="preserve">Practising</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uses the structure in controlled and guided tasks. Errors still occur and reminders are often needed.</w:t>
            </w:r>
          </w:p>
        </w:tc>
      </w:tr>
      <w:tr>
        <w:trPr>
          <w:cantSplit/>
        </w:trPr>
        <w:tc>
          <w:tcPr>
            <w:tcW w:type="dxa" w:w="1900"/>
            <w:tcBorders>
              <w:top w:val="none" w:color="FFFFFF" w:sz="0"/>
              <w:left w:val="none" w:color="FFFFFF" w:sz="0"/>
              <w:bottom w:val="single" w:color="C9D1DB" w:sz="4"/>
              <w:right w:val="none" w:color="FFFFFF" w:sz="0"/>
            </w:tcBorders>
            <w:shd w:fill="EEF2F6" w:color="auto" w:val="clear"/>
            <w:tcMar>
              <w:top w:type="dxa" w:w="90"/>
              <w:left w:type="dxa" w:w="110"/>
              <w:bottom w:type="dxa" w:w="90"/>
              <w:right w:type="dxa" w:w="110"/>
            </w:tcMar>
            <w:vAlign w:val="center"/>
          </w:tcPr>
          <w:p>
            <w:pPr>
              <w:spacing w:after="0" w:before="0" w:line="264"/>
            </w:pPr>
            <w:r>
              <w:rPr>
                <w:rFonts w:ascii="Calibri" w:cs="Calibri" w:eastAsia="Calibri" w:hAnsi="Calibri"/>
                <w:color w:val="7A8796"/>
                <w:sz w:val="18"/>
                <w:szCs w:val="18"/>
              </w:rPr>
              <w:t xml:space="preserve">3  </w:t>
            </w:r>
            <w:r>
              <w:rPr>
                <w:rFonts w:ascii="Calibri" w:cs="Calibri" w:eastAsia="Calibri" w:hAnsi="Calibri"/>
                <w:b/>
                <w:bCs/>
                <w:color w:val="1F3A5F"/>
                <w:sz w:val="20"/>
                <w:szCs w:val="20"/>
              </w:rPr>
              <w:t xml:space="preserve">Mastered</w:t>
            </w:r>
          </w:p>
        </w:tc>
        <w:tc>
          <w:tcPr>
            <w:tcW w:type="dxa" w:w="77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222B36"/>
                <w:sz w:val="19"/>
                <w:szCs w:val="19"/>
              </w:rPr>
              <w:t xml:space="preserve">The student can independently use the structure in meaningful speaking or writing with approximately 80%+ accuracy.</w:t>
            </w:r>
          </w:p>
        </w:tc>
      </w:tr>
    </w:tbl>
    <w:p>
      <w:pPr>
        <w:keepNext/>
        <w:spacing w:after="80" w:before="240" w:line="264"/>
      </w:pPr>
      <w:r>
        <w:rPr>
          <w:rFonts w:ascii="Calibri" w:cs="Calibri" w:eastAsia="Calibri" w:hAnsi="Calibri"/>
          <w:b/>
          <w:bCs/>
          <w:color w:val="1F3A5F"/>
          <w:sz w:val="23"/>
          <w:szCs w:val="23"/>
        </w:rPr>
        <w:t xml:space="preserve">Recording progress</w:t>
      </w:r>
    </w:p>
    <w:p>
      <w:pPr>
        <w:pStyle w:val="ListParagraph"/>
        <w:numPr>
          <w:ilvl w:val="0"/>
          <w:numId w:val="2"/>
        </w:numPr>
        <w:spacing w:after="40" w:before="0" w:line="264"/>
      </w:pPr>
      <w:r>
        <w:rPr>
          <w:rFonts w:ascii="Calibri" w:cs="Calibri" w:eastAsia="Calibri" w:hAnsi="Calibri"/>
          <w:color w:val="222B36"/>
          <w:sz w:val="20"/>
          <w:szCs w:val="20"/>
        </w:rPr>
        <w:t xml:space="preserve">Tick Introduced once the structure has been taught and checked for understanding.</w:t>
      </w:r>
    </w:p>
    <w:p>
      <w:pPr>
        <w:pStyle w:val="ListParagraph"/>
        <w:numPr>
          <w:ilvl w:val="0"/>
          <w:numId w:val="2"/>
        </w:numPr>
        <w:spacing w:after="40" w:before="0" w:line="264"/>
      </w:pPr>
      <w:r>
        <w:rPr>
          <w:rFonts w:ascii="Calibri" w:cs="Calibri" w:eastAsia="Calibri" w:hAnsi="Calibri"/>
          <w:color w:val="222B36"/>
          <w:sz w:val="20"/>
          <w:szCs w:val="20"/>
        </w:rPr>
        <w:t xml:space="preserve">Tick Practising when the student is using it in guided tasks, even with some errors.</w:t>
      </w:r>
    </w:p>
    <w:p>
      <w:pPr>
        <w:pStyle w:val="ListParagraph"/>
        <w:numPr>
          <w:ilvl w:val="0"/>
          <w:numId w:val="2"/>
        </w:numPr>
        <w:spacing w:after="40" w:before="0" w:line="264"/>
      </w:pPr>
      <w:r>
        <w:rPr>
          <w:rFonts w:ascii="Calibri" w:cs="Calibri" w:eastAsia="Calibri" w:hAnsi="Calibri"/>
          <w:color w:val="222B36"/>
          <w:sz w:val="20"/>
          <w:szCs w:val="20"/>
        </w:rPr>
        <w:t xml:space="preserve">Tick Mastered only when there is evidence from free speaking or writing — not from a gap-fill or drill alone.</w:t>
      </w:r>
    </w:p>
    <w:p>
      <w:pPr>
        <w:pStyle w:val="ListParagraph"/>
        <w:numPr>
          <w:ilvl w:val="0"/>
          <w:numId w:val="2"/>
        </w:numPr>
        <w:spacing w:after="40" w:before="0" w:line="264"/>
      </w:pPr>
      <w:r>
        <w:rPr>
          <w:rFonts w:ascii="Calibri" w:cs="Calibri" w:eastAsia="Calibri" w:hAnsi="Calibri"/>
          <w:color w:val="222B36"/>
          <w:sz w:val="20"/>
          <w:szCs w:val="20"/>
        </w:rPr>
        <w:t xml:space="preserve">Revisit structures over time. Mastery is shown by consistent use across different tasks and topics.</w:t>
      </w:r>
    </w:p>
    <w:p>
      <w:pPr>
        <w:pStyle w:val="ListParagraph"/>
        <w:numPr>
          <w:ilvl w:val="0"/>
          <w:numId w:val="2"/>
        </w:numPr>
        <w:spacing w:after="160" w:before="0" w:line="264"/>
      </w:pPr>
      <w:r>
        <w:rPr>
          <w:rFonts w:ascii="Calibri" w:cs="Calibri" w:eastAsia="Calibri" w:hAnsi="Calibri"/>
          <w:color w:val="222B36"/>
          <w:sz w:val="20"/>
          <w:szCs w:val="20"/>
        </w:rPr>
        <w:t xml:space="preserve">Short examples and “Watch” notes on common errors are included where they are most useful. They are reminders, not full explanations.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8A6A2E" w:sz="18"/>
              <w:bottom w:val="none" w:color="FFFFFF" w:sz="0"/>
              <w:right w:val="none" w:color="FFFFFF" w:sz="0"/>
            </w:tcBorders>
            <w:shd w:fill="F7F9FB" w:color="auto" w:val="clear"/>
            <w:tcMar>
              <w:top w:type="dxa" w:w="140"/>
              <w:left w:type="dxa" w:w="200"/>
              <w:bottom w:type="dxa" w:w="140"/>
              <w:right w:type="dxa" w:w="200"/>
            </w:tcMar>
            <w:vAlign w:val="center"/>
          </w:tcPr>
          <w:p>
            <w:pPr>
              <w:spacing w:after="60" w:before="0" w:line="264"/>
            </w:pPr>
            <w:r>
              <w:rPr>
                <w:rFonts w:ascii="Calibri" w:cs="Calibri" w:eastAsia="Calibri" w:hAnsi="Calibri"/>
                <w:b/>
                <w:bCs/>
                <w:color w:val="1F3A5F"/>
                <w:sz w:val="19"/>
                <w:szCs w:val="19"/>
              </w:rPr>
              <w:t xml:space="preserve">About CEFR alignment</w:t>
            </w:r>
          </w:p>
          <w:p>
            <w:pPr>
              <w:spacing w:after="40" w:before="0" w:line="264"/>
            </w:pPr>
            <w:r>
              <w:rPr>
                <w:rFonts w:ascii="Calibri" w:cs="Calibri" w:eastAsia="Calibri" w:hAnsi="Calibri"/>
                <w:color w:val="2E3A48"/>
                <w:sz w:val="19"/>
                <w:szCs w:val="19"/>
              </w:rPr>
              <w:t xml:space="preserve">Completing this checklist indicates grammatical control broadly aligned with the CEFR B1 target level. It does not by itself certify overall CEFR proficiency.</w:t>
            </w:r>
          </w:p>
          <w:p>
            <w:pPr>
              <w:spacing w:after="40" w:before="0" w:line="264"/>
            </w:pPr>
            <w:r>
              <w:rPr>
                <w:rFonts w:ascii="Calibri" w:cs="Calibri" w:eastAsia="Calibri" w:hAnsi="Calibri"/>
                <w:color w:val="2E3A48"/>
                <w:sz w:val="19"/>
                <w:szCs w:val="19"/>
              </w:rPr>
              <w:t xml:space="preserve">Overall proficiency also depends on vocabulary, listening, reading, speaking, writing and interaction, and is best confirmed through a recognised assessment.</w:t>
            </w:r>
          </w:p>
        </w:tc>
      </w:tr>
    </w:tbl>
    <w:p>
      <w:r>
        <w:br w:type="page"/>
      </w:r>
    </w:p>
    <w:p>
      <w:pPr>
        <w:keepNext/>
        <w:spacing w:after="120" w:before="120" w:line="264"/>
      </w:pPr>
      <w:r>
        <w:rPr>
          <w:rFonts w:ascii="Calibri" w:cs="Calibri" w:eastAsia="Calibri" w:hAnsi="Calibri"/>
          <w:b/>
          <w:bCs/>
          <w:color w:val="1F3A5F"/>
          <w:sz w:val="30"/>
          <w:szCs w:val="30"/>
        </w:rPr>
        <w:t xml:space="preserve">B1 Grammar Competencies</w:t>
      </w:r>
    </w:p>
    <w:p>
      <w:pPr>
        <w:spacing w:after="160" w:before="0" w:line="264"/>
      </w:pPr>
      <w:r>
        <w:rPr>
          <w:rFonts w:ascii="Calibri" w:cs="Calibri" w:eastAsia="Calibri" w:hAnsi="Calibri"/>
          <w:color w:val="4A5A6E"/>
          <w:sz w:val="19"/>
          <w:szCs w:val="19"/>
        </w:rPr>
        <w:t xml:space="preserve">38 competencies in 7 units. One competency ≈ one focused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878"/>
        <w:gridCol w:w="1020"/>
        <w:gridCol w:w="1020"/>
        <w:gridCol w:w="1020"/>
      </w:tblGrid>
      <w:tr>
        <w:trPr>
          <w:cantSplit/>
          <w:tblHeader/>
        </w:trPr>
        <w:tc>
          <w:tcPr>
            <w:tcW w:type="dxa" w:w="7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No.</w:t>
            </w:r>
          </w:p>
        </w:tc>
        <w:tc>
          <w:tcPr>
            <w:tcW w:type="dxa" w:w="587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6"/>
                <w:szCs w:val="16"/>
              </w:rPr>
              <w:t xml:space="preserve">Grammar point and can-do outcome</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Introduced</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Practising</w:t>
            </w:r>
          </w:p>
        </w:tc>
        <w:tc>
          <w:tcPr>
            <w:tcW w:type="dxa" w:w="102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6"/>
                <w:szCs w:val="16"/>
              </w:rPr>
              <w:t xml:space="preserve">Mastered</w:t>
            </w:r>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1</w:t>
            </w:r>
            <w:r>
              <w:rPr>
                <w:rFonts w:ascii="Calibri" w:cs="Calibri" w:eastAsia="Calibri" w:hAnsi="Calibri"/>
                <w:b/>
                <w:bCs/>
                <w:color w:val="1F3A5F"/>
                <w:sz w:val="20"/>
                <w:szCs w:val="20"/>
              </w:rPr>
              <w:t xml:space="preserve">   Tense and time</w:t>
            </w:r>
            <w:r>
              <w:rPr>
                <w:rFonts w:ascii="Calibri" w:cs="Calibri" w:eastAsia="Calibri" w:hAnsi="Calibri"/>
                <w:color w:val="7A8796"/>
                <w:sz w:val="17"/>
                <w:szCs w:val="17"/>
              </w:rPr>
              <w:t xml:space="preserve">   ·   Sessions 1–6</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State verbs and the present continuous</w:t>
            </w:r>
          </w:p>
          <w:p>
            <w:pPr>
              <w:spacing w:after="30" w:before="0" w:line="264"/>
            </w:pPr>
            <w:r>
              <w:rPr>
                <w:rFonts w:ascii="Calibri" w:cs="Calibri" w:eastAsia="Calibri" w:hAnsi="Calibri"/>
                <w:color w:val="222B36"/>
                <w:sz w:val="19"/>
                <w:szCs w:val="19"/>
              </w:rPr>
              <w:t xml:space="preserve">I can avoid the continuous with state verbs such as know, believe, own.</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know the answer. This bag belongs to me.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I'm knowing → I know.</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perfect continuous</w:t>
            </w:r>
          </w:p>
          <w:p>
            <w:pPr>
              <w:spacing w:after="30" w:before="0" w:line="264"/>
            </w:pPr>
            <w:r>
              <w:rPr>
                <w:rFonts w:ascii="Calibri" w:cs="Calibri" w:eastAsia="Calibri" w:hAnsi="Calibri"/>
                <w:color w:val="222B36"/>
                <w:sz w:val="19"/>
                <w:szCs w:val="19"/>
              </w:rPr>
              <w:t xml:space="preserve">I can talk about activities that started in the past and continue now.</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I've been studying for two hours.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Present perfect simple vs continuous</w:t>
            </w:r>
          </w:p>
          <w:p>
            <w:pPr>
              <w:spacing w:after="30" w:before="0" w:line="264"/>
            </w:pPr>
            <w:r>
              <w:rPr>
                <w:rFonts w:ascii="Calibri" w:cs="Calibri" w:eastAsia="Calibri" w:hAnsi="Calibri"/>
                <w:color w:val="222B36"/>
                <w:sz w:val="19"/>
                <w:szCs w:val="19"/>
              </w:rPr>
              <w:t xml:space="preserve">I can choose between focusing on the result and on the activity.</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I've written three emails. I've been writing all morning.</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perfect</w:t>
            </w:r>
          </w:p>
          <w:p>
            <w:pPr>
              <w:spacing w:after="30" w:before="0" w:line="264"/>
            </w:pPr>
            <w:r>
              <w:rPr>
                <w:rFonts w:ascii="Calibri" w:cs="Calibri" w:eastAsia="Calibri" w:hAnsi="Calibri"/>
                <w:color w:val="222B36"/>
                <w:sz w:val="19"/>
                <w:szCs w:val="19"/>
              </w:rPr>
              <w:t xml:space="preserve">I can show that one past action happened before another.</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When I arrived, the train had already left.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Overusing the past perfect when order is already clear.</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Narrative tenses together</w:t>
            </w:r>
          </w:p>
          <w:p>
            <w:pPr>
              <w:spacing w:after="30" w:before="0" w:line="264"/>
            </w:pPr>
            <w:r>
              <w:rPr>
                <w:rFonts w:ascii="Calibri" w:cs="Calibri" w:eastAsia="Calibri" w:hAnsi="Calibri"/>
                <w:color w:val="222B36"/>
                <w:sz w:val="19"/>
                <w:szCs w:val="19"/>
              </w:rPr>
              <w:t xml:space="preserve">I can tell a story using past simple, continuous and perfect together.</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was waiting at the bus stop. I'd forgotten my umbrella …</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06</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Would vs used to for past habits</w:t>
            </w:r>
          </w:p>
          <w:p>
            <w:pPr>
              <w:spacing w:after="30" w:before="0" w:line="264"/>
            </w:pPr>
            <w:r>
              <w:rPr>
                <w:rFonts w:ascii="Calibri" w:cs="Calibri" w:eastAsia="Calibri" w:hAnsi="Calibri"/>
                <w:color w:val="222B36"/>
                <w:sz w:val="19"/>
                <w:szCs w:val="19"/>
              </w:rPr>
              <w:t xml:space="preserve">I can describe past routines using would and used to correctly.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Every summer we would go to the lake.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would live in Paris → I used to live (states need used to).</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2</w:t>
            </w:r>
            <w:r>
              <w:rPr>
                <w:rFonts w:ascii="Calibri" w:cs="Calibri" w:eastAsia="Calibri" w:hAnsi="Calibri"/>
                <w:b/>
                <w:bCs/>
                <w:color w:val="1F3A5F"/>
                <w:sz w:val="20"/>
                <w:szCs w:val="20"/>
              </w:rPr>
              <w:t xml:space="preserve">   Future forms</w:t>
            </w:r>
            <w:r>
              <w:rPr>
                <w:rFonts w:ascii="Calibri" w:cs="Calibri" w:eastAsia="Calibri" w:hAnsi="Calibri"/>
                <w:color w:val="7A8796"/>
                <w:sz w:val="17"/>
                <w:szCs w:val="17"/>
              </w:rPr>
              <w:t xml:space="preserve">   ·   Sessions 7–10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07</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Future continuous</w:t>
            </w:r>
          </w:p>
          <w:p>
            <w:pPr>
              <w:spacing w:after="30" w:before="0" w:line="264"/>
            </w:pPr>
            <w:r>
              <w:rPr>
                <w:rFonts w:ascii="Calibri" w:cs="Calibri" w:eastAsia="Calibri" w:hAnsi="Calibri"/>
                <w:color w:val="222B36"/>
                <w:sz w:val="19"/>
                <w:szCs w:val="19"/>
              </w:rPr>
              <w:t xml:space="preserve">I can talk about actions in progress at a future time.</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This time tomorrow I'll be flying to London.</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08</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Future perfect (introduction)</w:t>
            </w:r>
          </w:p>
          <w:p>
            <w:pPr>
              <w:spacing w:after="30" w:before="0" w:line="264"/>
            </w:pPr>
            <w:r>
              <w:rPr>
                <w:rFonts w:ascii="Calibri" w:cs="Calibri" w:eastAsia="Calibri" w:hAnsi="Calibri"/>
                <w:color w:val="222B36"/>
                <w:sz w:val="19"/>
                <w:szCs w:val="19"/>
              </w:rPr>
              <w:t xml:space="preserve">I can say something will be complete before a future time.</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I'll have finished the report by Friday.</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09</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Future time clauses: when, as soon as, until, before</w:t>
            </w:r>
          </w:p>
          <w:p>
            <w:pPr>
              <w:spacing w:after="30" w:before="0" w:line="264"/>
            </w:pPr>
            <w:r>
              <w:rPr>
                <w:rFonts w:ascii="Calibri" w:cs="Calibri" w:eastAsia="Calibri" w:hAnsi="Calibri"/>
                <w:color w:val="222B36"/>
                <w:sz w:val="19"/>
                <w:szCs w:val="19"/>
              </w:rPr>
              <w:t xml:space="preserve">I can use present tenses after future time words.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I'll call you as soon as I arrive.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When I will arrive → When I arrive.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10</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Choosing between future forms</w:t>
            </w:r>
          </w:p>
          <w:p>
            <w:pPr>
              <w:spacing w:after="30" w:before="0" w:line="264"/>
            </w:pPr>
            <w:r>
              <w:rPr>
                <w:rFonts w:ascii="Calibri" w:cs="Calibri" w:eastAsia="Calibri" w:hAnsi="Calibri"/>
                <w:color w:val="222B36"/>
                <w:sz w:val="19"/>
                <w:szCs w:val="19"/>
              </w:rPr>
              <w:t xml:space="preserve">I can choose will, going to, present continuous or present simple (timetables).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train leaves at 9. I'm seeing Ana later.</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3</w:t>
            </w:r>
            <w:r>
              <w:rPr>
                <w:rFonts w:ascii="Calibri" w:cs="Calibri" w:eastAsia="Calibri" w:hAnsi="Calibri"/>
                <w:b/>
                <w:bCs/>
                <w:color w:val="1F3A5F"/>
                <w:sz w:val="20"/>
                <w:szCs w:val="20"/>
              </w:rPr>
              <w:t xml:space="preserve">   Modality</w:t>
            </w:r>
            <w:r>
              <w:rPr>
                <w:rFonts w:ascii="Calibri" w:cs="Calibri" w:eastAsia="Calibri" w:hAnsi="Calibri"/>
                <w:color w:val="7A8796"/>
                <w:sz w:val="17"/>
                <w:szCs w:val="17"/>
              </w:rPr>
              <w:t xml:space="preserve">   ·   Sessions 11–15</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Modals of deduction: must, might, can't (present)</w:t>
            </w:r>
          </w:p>
          <w:p>
            <w:pPr>
              <w:spacing w:after="30" w:before="0" w:line="264"/>
            </w:pPr>
            <w:r>
              <w:rPr>
                <w:rFonts w:ascii="Calibri" w:cs="Calibri" w:eastAsia="Calibri" w:hAnsi="Calibri"/>
                <w:color w:val="222B36"/>
                <w:sz w:val="19"/>
                <w:szCs w:val="19"/>
              </w:rPr>
              <w:t xml:space="preserve">I can make logical guesses about the present.</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She must be tired. That can't be true.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He mustn't be at home → He can't be at home.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obligation: had to, didn't have to, needed to</w:t>
            </w:r>
          </w:p>
          <w:p>
            <w:pPr>
              <w:spacing w:after="30" w:before="0" w:line="264"/>
            </w:pPr>
            <w:r>
              <w:rPr>
                <w:rFonts w:ascii="Calibri" w:cs="Calibri" w:eastAsia="Calibri" w:hAnsi="Calibri"/>
                <w:color w:val="222B36"/>
                <w:sz w:val="19"/>
                <w:szCs w:val="19"/>
              </w:rPr>
              <w:t xml:space="preserve">I can talk about obligations and lack of obligation in the past.</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had to work late. We didn't have to wait.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must go yesterday → I had to go.</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Should have / shouldn't have</w:t>
            </w:r>
          </w:p>
          <w:p>
            <w:pPr>
              <w:spacing w:after="30" w:before="0" w:line="264"/>
            </w:pPr>
            <w:r>
              <w:rPr>
                <w:rFonts w:ascii="Calibri" w:cs="Calibri" w:eastAsia="Calibri" w:hAnsi="Calibri"/>
                <w:color w:val="222B36"/>
                <w:sz w:val="19"/>
                <w:szCs w:val="19"/>
              </w:rPr>
              <w:t xml:space="preserve">I can express regret and criticise past actions.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should have studied harder.</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should had → should have.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Past ability: could, was able to, managed to</w:t>
            </w:r>
          </w:p>
          <w:p>
            <w:pPr>
              <w:spacing w:after="30" w:before="0" w:line="264"/>
            </w:pPr>
            <w:r>
              <w:rPr>
                <w:rFonts w:ascii="Calibri" w:cs="Calibri" w:eastAsia="Calibri" w:hAnsi="Calibri"/>
                <w:color w:val="222B36"/>
                <w:sz w:val="19"/>
                <w:szCs w:val="19"/>
              </w:rPr>
              <w:t xml:space="preserve">I can talk about general and specific past ability.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was able to finish on time.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could pass the exam (one success) → I managed to pass.</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Making suggestions</w:t>
            </w:r>
          </w:p>
          <w:p>
            <w:pPr>
              <w:spacing w:after="30" w:before="0" w:line="264"/>
            </w:pPr>
            <w:r>
              <w:rPr>
                <w:rFonts w:ascii="Calibri" w:cs="Calibri" w:eastAsia="Calibri" w:hAnsi="Calibri"/>
                <w:color w:val="222B36"/>
                <w:sz w:val="19"/>
                <w:szCs w:val="19"/>
              </w:rPr>
              <w:t xml:space="preserve">I can make and respond to suggestions.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Why don't we leave early? How about meeting at six?</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How about to go → How about going.</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4</w:t>
            </w:r>
            <w:r>
              <w:rPr>
                <w:rFonts w:ascii="Calibri" w:cs="Calibri" w:eastAsia="Calibri" w:hAnsi="Calibri"/>
                <w:b/>
                <w:bCs/>
                <w:color w:val="1F3A5F"/>
                <w:sz w:val="20"/>
                <w:szCs w:val="20"/>
              </w:rPr>
              <w:t xml:space="preserve">   Conditionals and wishes</w:t>
            </w:r>
            <w:r>
              <w:rPr>
                <w:rFonts w:ascii="Calibri" w:cs="Calibri" w:eastAsia="Calibri" w:hAnsi="Calibri"/>
                <w:color w:val="7A8796"/>
                <w:sz w:val="17"/>
                <w:szCs w:val="17"/>
              </w:rPr>
              <w:t xml:space="preserve">   ·   Sessions 16–20</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16</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Second conditional</w:t>
            </w:r>
          </w:p>
          <w:p>
            <w:pPr>
              <w:spacing w:after="30" w:before="0" w:line="264"/>
            </w:pPr>
            <w:r>
              <w:rPr>
                <w:rFonts w:ascii="Calibri" w:cs="Calibri" w:eastAsia="Calibri" w:hAnsi="Calibri"/>
                <w:color w:val="222B36"/>
                <w:sz w:val="19"/>
                <w:szCs w:val="19"/>
              </w:rPr>
              <w:t xml:space="preserve">I can talk about imaginary or unlikely situations.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If I had more time, I would learn the piano.</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If I would have → If I had.</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17</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First vs second conditional</w:t>
            </w:r>
          </w:p>
          <w:p>
            <w:pPr>
              <w:spacing w:after="30" w:before="0" w:line="264"/>
            </w:pPr>
            <w:r>
              <w:rPr>
                <w:rFonts w:ascii="Calibri" w:cs="Calibri" w:eastAsia="Calibri" w:hAnsi="Calibri"/>
                <w:color w:val="222B36"/>
                <w:sz w:val="19"/>
                <w:szCs w:val="19"/>
              </w:rPr>
              <w:t xml:space="preserve">I can show how likely I think a situation is.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If I pass, I'll celebrate. If I won the lottery, I'd travel.</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18</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Third conditional (introduction)</w:t>
            </w:r>
          </w:p>
          <w:p>
            <w:pPr>
              <w:spacing w:after="30" w:before="0" w:line="264"/>
            </w:pPr>
            <w:r>
              <w:rPr>
                <w:rFonts w:ascii="Calibri" w:cs="Calibri" w:eastAsia="Calibri" w:hAnsi="Calibri"/>
                <w:color w:val="222B36"/>
                <w:sz w:val="19"/>
                <w:szCs w:val="19"/>
              </w:rPr>
              <w:t xml:space="preserve">I can talk about imaginary past situations and their results.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If we had left earlier, we wouldn't have missed the train.</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19</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Wish + past simple</w:t>
            </w:r>
          </w:p>
          <w:p>
            <w:pPr>
              <w:spacing w:after="30" w:before="0" w:line="264"/>
            </w:pPr>
            <w:r>
              <w:rPr>
                <w:rFonts w:ascii="Calibri" w:cs="Calibri" w:eastAsia="Calibri" w:hAnsi="Calibri"/>
                <w:color w:val="222B36"/>
                <w:sz w:val="19"/>
                <w:szCs w:val="19"/>
              </w:rPr>
              <w:t xml:space="preserve">I can talk about present situations I would like to be different.</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wish I lived closer to school.</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wish I live → I wish I lived.</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20</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Unless, as long as, provided that</w:t>
            </w:r>
          </w:p>
          <w:p>
            <w:pPr>
              <w:spacing w:after="30" w:before="0" w:line="264"/>
            </w:pPr>
            <w:r>
              <w:rPr>
                <w:rFonts w:ascii="Calibri" w:cs="Calibri" w:eastAsia="Calibri" w:hAnsi="Calibri"/>
                <w:color w:val="222B36"/>
                <w:sz w:val="19"/>
                <w:szCs w:val="19"/>
              </w:rPr>
              <w:t xml:space="preserve">I can express conditions in different ways.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You can borrow it as long as you return it.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Unless you don't hurry → Unless you hurry.</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5</w:t>
            </w:r>
            <w:r>
              <w:rPr>
                <w:rFonts w:ascii="Calibri" w:cs="Calibri" w:eastAsia="Calibri" w:hAnsi="Calibri"/>
                <w:b/>
                <w:bCs/>
                <w:color w:val="1F3A5F"/>
                <w:sz w:val="20"/>
                <w:szCs w:val="20"/>
              </w:rPr>
              <w:t xml:space="preserve">   Passive and reported speech</w:t>
            </w:r>
            <w:r>
              <w:rPr>
                <w:rFonts w:ascii="Calibri" w:cs="Calibri" w:eastAsia="Calibri" w:hAnsi="Calibri"/>
                <w:color w:val="7A8796"/>
                <w:sz w:val="17"/>
                <w:szCs w:val="17"/>
              </w:rPr>
              <w:t xml:space="preserve">   ·   Sessions 21–26</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Passive: present and past simple</w:t>
            </w:r>
          </w:p>
          <w:p>
            <w:pPr>
              <w:spacing w:after="30" w:before="0" w:line="264"/>
            </w:pPr>
            <w:r>
              <w:rPr>
                <w:rFonts w:ascii="Calibri" w:cs="Calibri" w:eastAsia="Calibri" w:hAnsi="Calibri"/>
                <w:color w:val="222B36"/>
                <w:sz w:val="19"/>
                <w:szCs w:val="19"/>
              </w:rPr>
              <w:t xml:space="preserve">I can describe processes and events when the doer is unknown or unimportant.</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Paper is made from wood. The bridge was built in 1932.</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It was build → It was built.</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Passive with other tenses and modals</w:t>
            </w:r>
          </w:p>
          <w:p>
            <w:pPr>
              <w:spacing w:after="30" w:before="0" w:line="264"/>
            </w:pPr>
            <w:r>
              <w:rPr>
                <w:rFonts w:ascii="Calibri" w:cs="Calibri" w:eastAsia="Calibri" w:hAnsi="Calibri"/>
                <w:color w:val="222B36"/>
                <w:sz w:val="19"/>
                <w:szCs w:val="19"/>
              </w:rPr>
              <w:t xml:space="preserve">I can use the passive with the present perfect, will and modals.</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results have been published. It must be done today.</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Reported statements</w:t>
            </w:r>
          </w:p>
          <w:p>
            <w:pPr>
              <w:spacing w:after="30" w:before="0" w:line="264"/>
            </w:pPr>
            <w:r>
              <w:rPr>
                <w:rFonts w:ascii="Calibri" w:cs="Calibri" w:eastAsia="Calibri" w:hAnsi="Calibri"/>
                <w:color w:val="222B36"/>
                <w:sz w:val="19"/>
                <w:szCs w:val="19"/>
              </w:rPr>
              <w:t xml:space="preserve">I can report what someone said, changing tenses where needed.</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She said she was busy.</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She said me → She told me / She said to me.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Reported questions</w:t>
            </w:r>
          </w:p>
          <w:p>
            <w:pPr>
              <w:spacing w:after="30" w:before="0" w:line="264"/>
            </w:pPr>
            <w:r>
              <w:rPr>
                <w:rFonts w:ascii="Calibri" w:cs="Calibri" w:eastAsia="Calibri" w:hAnsi="Calibri"/>
                <w:color w:val="222B36"/>
                <w:sz w:val="19"/>
                <w:szCs w:val="19"/>
              </w:rPr>
              <w:t xml:space="preserve">I can report questions using normal word order.</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He asked where I lived.</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He asked where did I live → where I lived.</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Reported requests and commands</w:t>
            </w:r>
          </w:p>
          <w:p>
            <w:pPr>
              <w:spacing w:after="30" w:before="0" w:line="264"/>
            </w:pPr>
            <w:r>
              <w:rPr>
                <w:rFonts w:ascii="Calibri" w:cs="Calibri" w:eastAsia="Calibri" w:hAnsi="Calibri"/>
                <w:color w:val="222B36"/>
                <w:sz w:val="19"/>
                <w:szCs w:val="19"/>
              </w:rPr>
              <w:t xml:space="preserve">I can report requests and instructions with tell / ask + object + to.</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teacher told us to be quiet.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She said me to wait → She told me to wait.</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26</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Have / get something done</w:t>
            </w:r>
          </w:p>
          <w:p>
            <w:pPr>
              <w:spacing w:after="30" w:before="0" w:line="264"/>
            </w:pPr>
            <w:r>
              <w:rPr>
                <w:rFonts w:ascii="Calibri" w:cs="Calibri" w:eastAsia="Calibri" w:hAnsi="Calibri"/>
                <w:color w:val="222B36"/>
                <w:sz w:val="19"/>
                <w:szCs w:val="19"/>
              </w:rPr>
              <w:t xml:space="preserve">I can talk about services someone else does for me.</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had my hair cut. We're getting the car repaired.</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6</w:t>
            </w:r>
            <w:r>
              <w:rPr>
                <w:rFonts w:ascii="Calibri" w:cs="Calibri" w:eastAsia="Calibri" w:hAnsi="Calibri"/>
                <w:b/>
                <w:bCs/>
                <w:color w:val="1F3A5F"/>
                <w:sz w:val="20"/>
                <w:szCs w:val="20"/>
              </w:rPr>
              <w:t xml:space="preserve">   Building complex sentences</w:t>
            </w:r>
            <w:r>
              <w:rPr>
                <w:rFonts w:ascii="Calibri" w:cs="Calibri" w:eastAsia="Calibri" w:hAnsi="Calibri"/>
                <w:color w:val="7A8796"/>
                <w:sz w:val="17"/>
                <w:szCs w:val="17"/>
              </w:rPr>
              <w:t xml:space="preserve">   ·   Sessions 27–32</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27</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Defining vs non-defining relative clauses</w:t>
            </w:r>
          </w:p>
          <w:p>
            <w:pPr>
              <w:spacing w:after="30" w:before="0" w:line="264"/>
            </w:pPr>
            <w:r>
              <w:rPr>
                <w:rFonts w:ascii="Calibri" w:cs="Calibri" w:eastAsia="Calibri" w:hAnsi="Calibri"/>
                <w:color w:val="222B36"/>
                <w:sz w:val="19"/>
                <w:szCs w:val="19"/>
              </w:rPr>
              <w:t xml:space="preserve">I can add essential or extra information about a noun and punctuate it correctly.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My brother, who lives in Tokyo, is a chef.</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My brother, that lives … → who lives.</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28</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Relative clauses: whose, where, when; omitting the pronoun</w:t>
            </w:r>
          </w:p>
          <w:p>
            <w:pPr>
              <w:spacing w:after="30" w:before="0" w:line="264"/>
            </w:pPr>
            <w:r>
              <w:rPr>
                <w:rFonts w:ascii="Calibri" w:cs="Calibri" w:eastAsia="Calibri" w:hAnsi="Calibri"/>
                <w:color w:val="222B36"/>
                <w:sz w:val="19"/>
                <w:szCs w:val="19"/>
              </w:rPr>
              <w:t xml:space="preserve">I can use a wider range of relative clauses naturally.</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The man whose car was stolen … The film (that) I saw …</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29</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Indirect questions for politeness</w:t>
            </w:r>
          </w:p>
          <w:p>
            <w:pPr>
              <w:spacing w:after="30" w:before="0" w:line="264"/>
            </w:pPr>
            <w:r>
              <w:rPr>
                <w:rFonts w:ascii="Calibri" w:cs="Calibri" w:eastAsia="Calibri" w:hAnsi="Calibri"/>
                <w:color w:val="222B36"/>
                <w:sz w:val="19"/>
                <w:szCs w:val="19"/>
              </w:rPr>
              <w:t xml:space="preserve">I can ask polite questions with Could you tell me … / Do you know …</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Could you tell me where the station is?</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 where is the station? → where the station is?</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30</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Question tags</w:t>
            </w:r>
          </w:p>
          <w:p>
            <w:pPr>
              <w:spacing w:after="30" w:before="0" w:line="264"/>
            </w:pPr>
            <w:r>
              <w:rPr>
                <w:rFonts w:ascii="Calibri" w:cs="Calibri" w:eastAsia="Calibri" w:hAnsi="Calibri"/>
                <w:color w:val="222B36"/>
                <w:sz w:val="19"/>
                <w:szCs w:val="19"/>
              </w:rPr>
              <w:t xml:space="preserve">I can check information and invite agreement.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It's cold, isn't it? You don't eat meat, do you?</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31</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Contrast: although, even though, however, despite</w:t>
            </w:r>
          </w:p>
          <w:p>
            <w:pPr>
              <w:spacing w:after="30" w:before="0" w:line="264"/>
            </w:pPr>
            <w:r>
              <w:rPr>
                <w:rFonts w:ascii="Calibri" w:cs="Calibri" w:eastAsia="Calibri" w:hAnsi="Calibri"/>
                <w:color w:val="222B36"/>
                <w:sz w:val="19"/>
                <w:szCs w:val="19"/>
              </w:rPr>
              <w:t xml:space="preserve">I can express contrast in speaking and writing.</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Although it was raining, we went out.</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Although …, but … → use only one linker.</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32</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Purpose and result: so that, in order to, so … that, such … that</w:t>
            </w:r>
          </w:p>
          <w:p>
            <w:pPr>
              <w:spacing w:after="30" w:before="0" w:line="264"/>
            </w:pPr>
            <w:r>
              <w:rPr>
                <w:rFonts w:ascii="Calibri" w:cs="Calibri" w:eastAsia="Calibri" w:hAnsi="Calibri"/>
                <w:color w:val="222B36"/>
                <w:sz w:val="19"/>
                <w:szCs w:val="19"/>
              </w:rPr>
              <w:t xml:space="preserve">I can explain purpose and result.</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It was so hot that we stayed inside.</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so hot day → such a hot day.</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9638"/>
            <w:gridSpan w:val="5"/>
            <w:tcBorders>
              <w:top w:val="none" w:color="FFFFFF" w:sz="0"/>
              <w:left w:val="none" w:color="FFFFFF" w:sz="0"/>
              <w:bottom w:val="single" w:color="1F3A5F" w:sz="6"/>
              <w:right w:val="none" w:color="FFFFFF" w:sz="0"/>
            </w:tcBorders>
            <w:shd w:fill="EEF2F6" w:color="auto" w:val="clear"/>
            <w:tcMar>
              <w:top w:type="dxa" w:w="110"/>
              <w:left w:type="dxa" w:w="110"/>
              <w:bottom w:type="dxa" w:w="90"/>
              <w:right w:type="dxa" w:w="110"/>
            </w:tcMar>
            <w:vAlign w:val="center"/>
          </w:tcPr>
          <w:p>
            <w:pPr>
              <w:keepNext/>
              <w:spacing w:after="0" w:before="0" w:line="264"/>
            </w:pPr>
            <w:r>
              <w:rPr>
                <w:rFonts w:ascii="Calibri" w:cs="Calibri" w:eastAsia="Calibri" w:hAnsi="Calibri"/>
                <w:b/>
                <w:bCs/>
                <w:color w:val="8A6A2E"/>
                <w:spacing w:val="30"/>
                <w:sz w:val="17"/>
                <w:szCs w:val="17"/>
              </w:rPr>
              <w:t xml:space="preserve">UNIT 7</w:t>
            </w:r>
            <w:r>
              <w:rPr>
                <w:rFonts w:ascii="Calibri" w:cs="Calibri" w:eastAsia="Calibri" w:hAnsi="Calibri"/>
                <w:b/>
                <w:bCs/>
                <w:color w:val="1F3A5F"/>
                <w:sz w:val="20"/>
                <w:szCs w:val="20"/>
              </w:rPr>
              <w:t xml:space="preserve">   Patterns and noun phrases</w:t>
            </w:r>
            <w:r>
              <w:rPr>
                <w:rFonts w:ascii="Calibri" w:cs="Calibri" w:eastAsia="Calibri" w:hAnsi="Calibri"/>
                <w:color w:val="7A8796"/>
                <w:sz w:val="17"/>
                <w:szCs w:val="17"/>
              </w:rPr>
              <w:t xml:space="preserve">   ·   Sessions 33–38</w:t>
            </w:r>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33</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Verbs that change meaning: remember, stop, try + -ing / to</w:t>
            </w:r>
          </w:p>
          <w:p>
            <w:pPr>
              <w:spacing w:after="30" w:before="0" w:line="264"/>
            </w:pPr>
            <w:r>
              <w:rPr>
                <w:rFonts w:ascii="Calibri" w:cs="Calibri" w:eastAsia="Calibri" w:hAnsi="Calibri"/>
                <w:color w:val="222B36"/>
                <w:sz w:val="19"/>
                <w:szCs w:val="19"/>
              </w:rPr>
              <w:t xml:space="preserve">I can choose the pattern that gives the meaning I want.</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stopped to buy coffee. I stopped drinking coffee.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34</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Gerunds as subjects and after prepositions</w:t>
            </w:r>
          </w:p>
          <w:p>
            <w:pPr>
              <w:spacing w:after="30" w:before="0" w:line="264"/>
            </w:pPr>
            <w:r>
              <w:rPr>
                <w:rFonts w:ascii="Calibri" w:cs="Calibri" w:eastAsia="Calibri" w:hAnsi="Calibri"/>
                <w:color w:val="222B36"/>
                <w:sz w:val="19"/>
                <w:szCs w:val="19"/>
              </w:rPr>
              <w:t xml:space="preserve">I can use -ing forms as subjects and after prepositions.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Swimming is good exercise. I'm interested in learning Spanish.</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interested in learn → interested in learning.</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35</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Verb + object + infinitive</w:t>
            </w:r>
          </w:p>
          <w:p>
            <w:pPr>
              <w:spacing w:after="30" w:before="0" w:line="264"/>
            </w:pPr>
            <w:r>
              <w:rPr>
                <w:rFonts w:ascii="Calibri" w:cs="Calibri" w:eastAsia="Calibri" w:hAnsi="Calibri"/>
                <w:color w:val="222B36"/>
                <w:sz w:val="19"/>
                <w:szCs w:val="19"/>
              </w:rPr>
              <w:t xml:space="preserve">I can say what I want or ask others to do.</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I want you to come. She asked me to help.</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I want that you come → I want you to come.</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36</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Both, either, neither, each, every, all, none</w:t>
            </w:r>
          </w:p>
          <w:p>
            <w:pPr>
              <w:spacing w:after="30" w:before="0" w:line="264"/>
            </w:pPr>
            <w:r>
              <w:rPr>
                <w:rFonts w:ascii="Calibri" w:cs="Calibri" w:eastAsia="Calibri" w:hAnsi="Calibri"/>
                <w:color w:val="222B36"/>
                <w:sz w:val="19"/>
                <w:szCs w:val="19"/>
              </w:rPr>
              <w:t xml:space="preserve">I can talk about groups and pairs precisely.</w:t>
            </w:r>
          </w:p>
          <w:p>
            <w:pPr>
              <w:spacing w:after="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Neither of them was ready. Each student has a book.</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37</w:t>
            </w:r>
          </w:p>
        </w:tc>
        <w:tc>
          <w:tcPr>
            <w:tcW w:type="dxa" w:w="5878"/>
            <w:tcBorders>
              <w:top w:val="none" w:color="FFFFFF" w:sz="0"/>
              <w:left w:val="none" w:color="FFFFFF" w:sz="0"/>
              <w:bottom w:val="single" w:color="C9D1DB" w:sz="4"/>
              <w:right w:val="none" w:color="FFFFFF" w:sz="0"/>
            </w:tcBorders>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Articles: general vs specific</w:t>
            </w:r>
          </w:p>
          <w:p>
            <w:pPr>
              <w:spacing w:after="30" w:before="0" w:line="264"/>
            </w:pPr>
            <w:r>
              <w:rPr>
                <w:rFonts w:ascii="Calibri" w:cs="Calibri" w:eastAsia="Calibri" w:hAnsi="Calibri"/>
                <w:color w:val="222B36"/>
                <w:sz w:val="19"/>
                <w:szCs w:val="19"/>
              </w:rPr>
              <w:t xml:space="preserve">I can use no article for general ideas and the for specific ones.</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Life is beautiful. The life of a doctor is busy.</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The life is beautiful → Life is beautiful.</w:t>
            </w:r>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700"/>
            <w:tcBorders>
              <w:top w:val="none" w:color="FFFFFF" w:sz="0"/>
              <w:left w:val="none" w:color="FFFFFF" w:sz="0"/>
              <w:bottom w:val="single" w:color="C9D1DB" w:sz="4"/>
              <w:right w:val="none" w:color="FFFFFF" w:sz="0"/>
            </w:tcBorders>
            <w:shd w:fill="F7F9FB" w:color="auto" w:val="clear"/>
            <w:tcMar>
              <w:top w:type="dxa" w:w="110"/>
              <w:left w:type="dxa" w:w="110"/>
              <w:bottom w:type="dxa" w:w="90"/>
              <w:right w:type="dxa" w:w="110"/>
            </w:tcMar>
            <w:vAlign w:val="top"/>
          </w:tcPr>
          <w:p>
            <w:pPr>
              <w:spacing w:after="0" w:before="0" w:line="264"/>
              <w:jc w:val="center"/>
            </w:pPr>
            <w:r>
              <w:rPr>
                <w:rFonts w:ascii="Calibri" w:cs="Calibri" w:eastAsia="Calibri" w:hAnsi="Calibri"/>
                <w:b/>
                <w:bCs/>
                <w:color w:val="7A8796"/>
                <w:sz w:val="20"/>
                <w:szCs w:val="20"/>
              </w:rPr>
              <w:t xml:space="preserve">38</w:t>
            </w:r>
          </w:p>
        </w:tc>
        <w:tc>
          <w:tcPr>
            <w:tcW w:type="dxa" w:w="5878"/>
            <w:tcBorders>
              <w:top w:val="none" w:color="FFFFFF" w:sz="0"/>
              <w:left w:val="none" w:color="FFFFFF" w:sz="0"/>
              <w:bottom w:val="single" w:color="C9D1DB" w:sz="4"/>
              <w:right w:val="none" w:color="FFFFFF" w:sz="0"/>
            </w:tcBorders>
            <w:shd w:fill="F7F9FB" w:color="auto" w:val="clear"/>
            <w:tcMar>
              <w:top w:type="dxa" w:w="100"/>
              <w:left w:type="dxa" w:w="110"/>
              <w:bottom w:type="dxa" w:w="100"/>
              <w:right w:type="dxa" w:w="110"/>
            </w:tcMar>
            <w:vAlign w:val="center"/>
          </w:tcPr>
          <w:p>
            <w:pPr>
              <w:spacing w:after="30" w:before="0" w:line="264"/>
            </w:pPr>
            <w:r>
              <w:rPr>
                <w:rFonts w:ascii="Calibri" w:cs="Calibri" w:eastAsia="Calibri" w:hAnsi="Calibri"/>
                <w:b/>
                <w:bCs/>
                <w:color w:val="1F3A5F"/>
                <w:sz w:val="20"/>
                <w:szCs w:val="20"/>
              </w:rPr>
              <w:t xml:space="preserve">Reflexive pronouns and each other</w:t>
            </w:r>
          </w:p>
          <w:p>
            <w:pPr>
              <w:spacing w:after="30" w:before="0" w:line="264"/>
            </w:pPr>
            <w:r>
              <w:rPr>
                <w:rFonts w:ascii="Calibri" w:cs="Calibri" w:eastAsia="Calibri" w:hAnsi="Calibri"/>
                <w:color w:val="222B36"/>
                <w:sz w:val="19"/>
                <w:szCs w:val="19"/>
              </w:rPr>
              <w:t xml:space="preserve">I can use myself, themselves, each other correctly.</w:t>
            </w:r>
          </w:p>
          <w:p>
            <w:pPr>
              <w:spacing w:after="20" w:before="0" w:line="264"/>
            </w:pPr>
            <w:r>
              <w:rPr>
                <w:rFonts w:ascii="Calibri" w:cs="Calibri" w:eastAsia="Calibri" w:hAnsi="Calibri"/>
                <w:color w:val="7A8796"/>
                <w:sz w:val="17"/>
                <w:szCs w:val="17"/>
              </w:rPr>
              <w:t xml:space="preserve">e.g.  </w:t>
            </w:r>
            <w:r>
              <w:rPr>
                <w:rFonts w:ascii="Calibri" w:cs="Calibri" w:eastAsia="Calibri" w:hAnsi="Calibri"/>
                <w:i/>
                <w:iCs/>
                <w:color w:val="4A5A6E"/>
                <w:sz w:val="18"/>
                <w:szCs w:val="18"/>
              </w:rPr>
              <w:t xml:space="preserve">She taught herself to code. They help each other.</w:t>
            </w:r>
          </w:p>
          <w:p>
            <w:pPr>
              <w:spacing w:after="0" w:before="0" w:line="264"/>
            </w:pPr>
            <w:r>
              <w:rPr>
                <w:rFonts w:ascii="Calibri" w:cs="Calibri" w:eastAsia="Calibri" w:hAnsi="Calibri"/>
                <w:b/>
                <w:bCs/>
                <w:color w:val="8A6A2E"/>
                <w:sz w:val="17"/>
                <w:szCs w:val="17"/>
              </w:rPr>
              <w:t xml:space="preserve">Watch  </w:t>
            </w:r>
            <w:r>
              <w:rPr>
                <w:rFonts w:ascii="Calibri" w:cs="Calibri" w:eastAsia="Calibri" w:hAnsi="Calibri"/>
                <w:color w:val="4A5A6E"/>
                <w:sz w:val="18"/>
                <w:szCs w:val="18"/>
              </w:rPr>
              <w:t xml:space="preserve">They love themselves (meaning each other).</w:t>
            </w:r>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1020"/>
            <w:tcBorders>
              <w:top w:val="none" w:color="FFFFFF" w:sz="0"/>
              <w:left w:val="none" w:color="FFFFFF" w:sz="0"/>
              <w:bottom w:val="single" w:color="C9D1DB" w:sz="4"/>
              <w:right w:val="none" w:color="FFFFFF" w:sz="0"/>
            </w:tcBorders>
            <w:shd w:fill="F7F9FB" w:color="auto" w:val="clear"/>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r>
        <w:br w:type="page"/>
      </w:r>
    </w:p>
    <w:p>
      <w:pPr>
        <w:keepNext/>
        <w:spacing w:after="120" w:before="120" w:line="264"/>
      </w:pPr>
      <w:r>
        <w:rPr>
          <w:rFonts w:ascii="Calibri" w:cs="Calibri" w:eastAsia="Calibri" w:hAnsi="Calibri"/>
          <w:b/>
          <w:bCs/>
          <w:color w:val="1F3A5F"/>
          <w:sz w:val="30"/>
          <w:szCs w:val="30"/>
        </w:rPr>
        <w:t xml:space="preserve">End-of-Level Review  ·  B1</w:t>
      </w:r>
    </w:p>
    <w:p>
      <w:pPr>
        <w:spacing w:after="160" w:before="0" w:line="264"/>
      </w:pPr>
      <w:r>
        <w:rPr>
          <w:rFonts w:ascii="Calibri" w:cs="Calibri" w:eastAsia="Calibri" w:hAnsi="Calibri"/>
          <w:color w:val="222B36"/>
          <w:sz w:val="20"/>
          <w:szCs w:val="20"/>
        </w:rPr>
        <w:t xml:space="preserve">Complete this review when the student has worked through the checklist. Count ticks in each column. Remember that the Mastered total is the best indicator of readiness.</w:t>
      </w:r>
    </w:p>
    <w:p>
      <w:pPr>
        <w:keepNext/>
        <w:spacing w:after="80" w:before="80" w:line="264"/>
      </w:pPr>
      <w:r>
        <w:rPr>
          <w:rFonts w:ascii="Calibri" w:cs="Calibri" w:eastAsia="Calibri" w:hAnsi="Calibri"/>
          <w:b/>
          <w:bCs/>
          <w:color w:val="1F3A5F"/>
          <w:sz w:val="21"/>
          <w:szCs w:val="21"/>
        </w:rPr>
        <w:t xml:space="preserve">Progress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019"/>
        <w:gridCol w:w="2019"/>
        <w:gridCol w:w="2000"/>
      </w:tblGrid>
      <w:tr>
        <w:trPr>
          <w:tblHeader/>
        </w:trPr>
        <w:tc>
          <w:tcPr>
            <w:tcW w:type="dxa" w:w="36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Introduced</w:t>
            </w:r>
          </w:p>
        </w:tc>
        <w:tc>
          <w:tcPr>
            <w:tcW w:type="dxa" w:w="2019"/>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Practising</w:t>
            </w:r>
          </w:p>
        </w:tc>
        <w:tc>
          <w:tcPr>
            <w:tcW w:type="dxa" w:w="20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Competencies at this stage</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38</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38</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  38</w:t>
            </w:r>
          </w:p>
        </w:tc>
      </w:tr>
      <w:tr>
        <w:tc>
          <w:tcPr>
            <w:tcW w:type="dxa" w:w="3600"/>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pPr>
            <w:r>
              <w:rPr>
                <w:rFonts w:ascii="Calibri" w:cs="Calibri" w:eastAsia="Calibri" w:hAnsi="Calibri"/>
                <w:b/>
                <w:bCs/>
                <w:color w:val="1F3A5F"/>
                <w:sz w:val="20"/>
                <w:szCs w:val="20"/>
              </w:rPr>
              <w:t xml:space="preserve">Percentage of total</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19"/>
            <w:tcBorders>
              <w:top w:val="none" w:color="FFFFFF" w:sz="0"/>
              <w:left w:val="none" w:color="FFFFFF" w:sz="0"/>
              <w:bottom w:val="single" w:color="C9D1DB" w:sz="4"/>
              <w:right w:val="none" w:color="FFFFFF" w:sz="0"/>
            </w:tcBorders>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c>
          <w:tcPr>
            <w:tcW w:type="dxa" w:w="2000"/>
            <w:tcBorders>
              <w:top w:val="none" w:color="FFFFFF" w:sz="0"/>
              <w:left w:val="none" w:color="FFFFFF" w:sz="0"/>
              <w:bottom w:val="single" w:color="C9D1DB" w:sz="4"/>
              <w:right w:val="none" w:color="FFFFFF" w:sz="0"/>
            </w:tcBorders>
            <w:shd w:fill="EEF2F6" w:color="auto" w:val="clear"/>
            <w:tcMar>
              <w:top w:type="dxa" w:w="160"/>
              <w:left w:type="dxa" w:w="110"/>
              <w:bottom w:type="dxa" w:w="160"/>
              <w:right w:type="dxa" w:w="110"/>
            </w:tcMar>
            <w:vAlign w:val="center"/>
          </w:tcPr>
          <w:p>
            <w:pPr>
              <w:spacing w:after="0" w:before="0" w:line="264"/>
              <w:jc w:val="center"/>
            </w:pPr>
            <w:r>
              <w:rPr>
                <w:rFonts w:ascii="Calibri" w:cs="Calibri" w:eastAsia="Calibri" w:hAnsi="Calibri"/>
                <w:color w:val="7A8796"/>
                <w:sz w:val="20"/>
                <w:szCs w:val="20"/>
              </w:rPr>
              <w:t xml:space="preserve">______</w:t>
            </w:r>
            <w:r>
              <w:rPr>
                <w:rFonts w:ascii="Calibri" w:cs="Calibri" w:eastAsia="Calibri" w:hAnsi="Calibri"/>
                <w:b/>
                <w:bCs/>
                <w:color w:val="1F3A5F"/>
                <w:sz w:val="20"/>
                <w:szCs w:val="20"/>
              </w:rPr>
              <w:t xml:space="preserve">  %</w:t>
            </w:r>
          </w:p>
        </w:tc>
      </w:tr>
    </w:tbl>
    <w:p>
      <w:pPr>
        <w:spacing w:after="200" w:before="80" w:line="264"/>
      </w:pPr>
      <w:r>
        <w:rPr>
          <w:rFonts w:ascii="Calibri" w:cs="Calibri" w:eastAsia="Calibri" w:hAnsi="Calibri"/>
          <w:i/>
          <w:iCs/>
          <w:color w:val="4A5A6E"/>
          <w:sz w:val="18"/>
          <w:szCs w:val="18"/>
        </w:rPr>
        <w:t xml:space="preserve">Total competencies in B1: 38</w:t>
      </w:r>
    </w:p>
    <w:p>
      <w:pPr>
        <w:keepNext/>
        <w:spacing w:after="80" w:before="80" w:line="264"/>
      </w:pPr>
      <w:r>
        <w:rPr>
          <w:rFonts w:ascii="Calibri" w:cs="Calibri" w:eastAsia="Calibri" w:hAnsi="Calibri"/>
          <w:b/>
          <w:bCs/>
          <w:color w:val="1F3A5F"/>
          <w:sz w:val="21"/>
          <w:szCs w:val="21"/>
        </w:rPr>
        <w:t xml:space="preserve">Progress by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838"/>
        <w:gridCol w:w="1300"/>
        <w:gridCol w:w="1350"/>
        <w:gridCol w:w="1350"/>
      </w:tblGrid>
      <w:tr>
        <w:trPr>
          <w:tblHeader/>
        </w:trPr>
        <w:tc>
          <w:tcPr>
            <w:tcW w:type="dxa" w:w="8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Unit</w:t>
            </w:r>
          </w:p>
        </w:tc>
        <w:tc>
          <w:tcPr>
            <w:tcW w:type="dxa" w:w="4838"/>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pPr>
            <w:r>
              <w:rPr>
                <w:rFonts w:ascii="Calibri" w:cs="Calibri" w:eastAsia="Calibri" w:hAnsi="Calibri"/>
                <w:b/>
                <w:bCs/>
                <w:color w:val="FFFFFF"/>
                <w:sz w:val="17"/>
                <w:szCs w:val="17"/>
              </w:rPr>
              <w:t xml:space="preserve">Focus</w:t>
            </w:r>
          </w:p>
        </w:tc>
        <w:tc>
          <w:tcPr>
            <w:tcW w:type="dxa" w:w="130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Sessions</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Mastered</w:t>
            </w:r>
          </w:p>
        </w:tc>
        <w:tc>
          <w:tcPr>
            <w:tcW w:type="dxa" w:w="1350"/>
            <w:tcBorders>
              <w:top w:val="none" w:color="FFFFFF" w:sz="0"/>
              <w:left w:val="none" w:color="FFFFFF" w:sz="0"/>
              <w:bottom w:val="none" w:color="FFFFFF" w:sz="0"/>
              <w:right w:val="none" w:color="FFFFFF" w:sz="0"/>
            </w:tcBorders>
            <w:shd w:fill="1F3A5F" w:color="auto" w:val="clear"/>
            <w:tcMar>
              <w:top w:type="dxa" w:w="80"/>
              <w:left w:type="dxa" w:w="110"/>
              <w:bottom w:type="dxa" w:w="80"/>
              <w:right w:type="dxa" w:w="110"/>
            </w:tcMar>
            <w:vAlign w:val="center"/>
          </w:tcPr>
          <w:p>
            <w:pPr>
              <w:spacing w:after="0" w:before="0" w:line="264"/>
              <w:jc w:val="center"/>
            </w:pPr>
            <w:r>
              <w:rPr>
                <w:rFonts w:ascii="Calibri" w:cs="Calibri" w:eastAsia="Calibri" w:hAnsi="Calibri"/>
                <w:b/>
                <w:bCs/>
                <w:color w:val="FFFFFF"/>
                <w:sz w:val="17"/>
                <w:szCs w:val="17"/>
              </w:rPr>
              <w:t xml:space="preserve">Review?</w:t>
            </w:r>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1</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Tense and time</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2</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Future forms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7–10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4</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3</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Modality</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11–15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4</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Conditionals and wishes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16–20</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5</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5</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Passive and reported speech</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21–26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6</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Building complex sentences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27–32</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r>
        <w:trPr>
          <w:cantSplit/>
        </w:trPr>
        <w:tc>
          <w:tcPr>
            <w:tcW w:type="dxa" w:w="8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b/>
                <w:bCs/>
                <w:color w:val="8A6A2E"/>
                <w:sz w:val="20"/>
                <w:szCs w:val="20"/>
              </w:rPr>
              <w:t xml:space="preserve">7</w:t>
            </w:r>
          </w:p>
        </w:tc>
        <w:tc>
          <w:tcPr>
            <w:tcW w:type="dxa" w:w="4838"/>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pPr>
            <w:r>
              <w:rPr>
                <w:rFonts w:ascii="Calibri" w:cs="Calibri" w:eastAsia="Calibri" w:hAnsi="Calibri"/>
                <w:color w:val="1F3A5F"/>
                <w:sz w:val="20"/>
                <w:szCs w:val="20"/>
              </w:rPr>
              <w:t xml:space="preserve">Patterns and noun phrases</w:t>
            </w:r>
          </w:p>
        </w:tc>
        <w:tc>
          <w:tcPr>
            <w:tcW w:type="dxa" w:w="130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4A5A6E"/>
                <w:sz w:val="19"/>
                <w:szCs w:val="19"/>
              </w:rPr>
              <w:t xml:space="preserve">33–38</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line="264"/>
              <w:jc w:val="center"/>
            </w:pPr>
            <w:r>
              <w:rPr>
                <w:rFonts w:ascii="Calibri" w:cs="Calibri" w:eastAsia="Calibri" w:hAnsi="Calibri"/>
                <w:color w:val="7A8796"/>
                <w:sz w:val="20"/>
                <w:szCs w:val="20"/>
              </w:rPr>
              <w:t xml:space="preserve">____</w:t>
            </w:r>
            <w:r>
              <w:rPr>
                <w:rFonts w:ascii="Calibri" w:cs="Calibri" w:eastAsia="Calibri" w:hAnsi="Calibri"/>
                <w:b/>
                <w:bCs/>
                <w:color w:val="1F3A5F"/>
                <w:sz w:val="20"/>
                <w:szCs w:val="20"/>
              </w:rPr>
              <w:t xml:space="preserve"> / 6</w:t>
            </w:r>
          </w:p>
        </w:tc>
        <w:tc>
          <w:tcPr>
            <w:tcW w:type="dxa" w:w="1350"/>
            <w:tcBorders>
              <w:top w:val="none" w:color="FFFFFF" w:sz="0"/>
              <w:left w:val="none" w:color="FFFFFF" w:sz="0"/>
              <w:bottom w:val="single" w:color="C9D1DB" w:sz="4"/>
              <w:right w:val="none" w:color="FFFFFF" w:sz="0"/>
            </w:tcBorders>
            <w:tcMar>
              <w:top w:type="dxa" w:w="90"/>
              <w:left w:type="dxa" w:w="110"/>
              <w:bottom w:type="dxa" w:w="9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r>
    </w:tbl>
    <w:p>
      <w:pPr>
        <w:keepNext/>
        <w:spacing w:after="80" w:before="280" w:line="264"/>
      </w:pPr>
      <w:r>
        <w:rPr>
          <w:rFonts w:ascii="Calibri" w:cs="Calibri" w:eastAsia="Calibri" w:hAnsi="Calibri"/>
          <w:b/>
          <w:bCs/>
          <w:color w:val="1F3A5F"/>
          <w:sz w:val="21"/>
          <w:szCs w:val="21"/>
        </w:rPr>
        <w:t xml:space="preserve">Recommendation</w:t>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560"/>
        <w:gridCol w:w="9078"/>
      </w:tblGrid>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Ready to progress to B2 grammar</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Continue consolidating B1 before progressing</w:t>
            </w:r>
          </w:p>
        </w:tc>
      </w:tr>
      <w:tr>
        <w:trPr>
          <w:cantSplit/>
        </w:trPr>
        <w:tc>
          <w:tcPr>
            <w:tcW w:type="dxa" w:w="560"/>
            <w:tcBorders>
              <w:top w:val="none" w:color="FFFFFF" w:sz="0"/>
              <w:left w:val="none" w:color="FFFFFF" w:sz="0"/>
              <w:bottom w:val="none" w:color="FFFFFF" w:sz="0"/>
              <w:right w:val="none" w:color="FFFFFF" w:sz="0"/>
            </w:tcBorders>
            <w:tcMar>
              <w:top w:type="dxa" w:w="50"/>
              <w:left w:type="dxa" w:w="0"/>
              <w:bottom w:type="dxa" w:w="50"/>
              <w:right w:type="dxa" w:w="110"/>
            </w:tcMar>
            <w:vAlign w:val="center"/>
          </w:tcPr>
          <w:p>
            <w:pPr>
              <w:spacing w:after="0" w:before="0"/>
              <w:jc w:val="center"/>
            </w:pPr>
            <w:sdt>
              <w:sdtPr>
                <w14:checkbox>
                  <w14:checked w14:val="0"/>
                  <w14:checkedState w14:val="2612" w14:font="MS Gothic"/>
                  <w14:uncheckedState w14:val="2610" w14:font="MS Gothic"/>
                </w14:checkbox>
              </w:sdtPr>
              <w:sdtContent>
                <w:r>
                  <w:rPr>
                    <w:rFonts w:ascii="MS Gothic" w:eastAsia="MS Gothic" w:hAnsi="MS Gothic" w:hint="eastAsia"/>
                    <w:color w:val="4A5A6E"/>
                    <w:sz w:val="26"/>
                    <w:szCs w:val="26"/>
                  </w:rPr>
                  <w:t>☐</w:t>
                </w:r>
              </w:sdtContent>
            </w:sdt>
          </w:p>
        </w:tc>
        <w:tc>
          <w:tcPr>
            <w:tcW w:type="dxa" w:w="9078"/>
            <w:tcBorders>
              <w:top w:val="none" w:color="FFFFFF" w:sz="0"/>
              <w:left w:val="none" w:color="FFFFFF" w:sz="0"/>
              <w:bottom w:val="none" w:color="FFFFFF" w:sz="0"/>
              <w:right w:val="none" w:color="FFFFFF" w:sz="0"/>
            </w:tcBorders>
            <w:tcMar>
              <w:top w:type="dxa" w:w="50"/>
              <w:left w:type="dxa" w:w="110"/>
              <w:bottom w:type="dxa" w:w="50"/>
              <w:right w:type="dxa" w:w="110"/>
            </w:tcMar>
            <w:vAlign w:val="center"/>
          </w:tcPr>
          <w:p>
            <w:pPr>
              <w:spacing w:after="0" w:before="0" w:line="264"/>
            </w:pPr>
            <w:r>
              <w:rPr>
                <w:rFonts w:ascii="Calibri" w:cs="Calibri" w:eastAsia="Calibri" w:hAnsi="Calibri"/>
                <w:color w:val="222B36"/>
                <w:sz w:val="20"/>
                <w:szCs w:val="20"/>
              </w:rPr>
              <w:t xml:space="preserve">Targeted review of the units marked above</w:t>
            </w:r>
          </w:p>
        </w:tc>
      </w:tr>
    </w:tbl>
    <w:p>
      <w:r>
        <w:br w:type="page"/>
      </w:r>
    </w:p>
    <w:p>
      <w:pPr>
        <w:keepNext/>
        <w:spacing w:after="120" w:before="120" w:line="264"/>
      </w:pPr>
      <w:r>
        <w:rPr>
          <w:rFonts w:ascii="Calibri" w:cs="Calibri" w:eastAsia="Calibri" w:hAnsi="Calibri"/>
          <w:b/>
          <w:bCs/>
          <w:color w:val="1F3A5F"/>
          <w:sz w:val="30"/>
          <w:szCs w:val="30"/>
        </w:rPr>
        <w:t xml:space="preserve">Teacher Review and Next Steps</w:t>
      </w:r>
    </w:p>
    <w:p>
      <w:pPr>
        <w:spacing w:after="80" w:before="0" w:line="264"/>
      </w:pPr>
      <w:r>
        <w:rPr>
          <w:rFonts w:ascii="Calibri" w:cs="Calibri" w:eastAsia="Calibri" w:hAnsi="Calibri"/>
          <w:color w:val="222B36"/>
          <w:sz w:val="20"/>
          <w:szCs w:val="20"/>
        </w:rPr>
        <w:t xml:space="preserve">Use evidence from the student's free speaking and writing. Refer to session numbers so that next steps are specific.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Strengths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Areas to consolidate</w:t>
            </w:r>
            <w:r>
              <w:rPr>
                <w:rFonts w:ascii="Calibri" w:cs="Calibri" w:eastAsia="Calibri" w:hAnsi="Calibri"/>
                <w:i/>
                <w:iCs/>
                <w:color w:val="7A8796"/>
                <w:sz w:val="17"/>
                <w:szCs w:val="17"/>
              </w:rPr>
              <w:t xml:space="preserve">   Note specific session numbers where helpful</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Teacher comments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none" w:color="FFFFFF" w:sz="0"/>
              <w:bottom w:val="none" w:color="FFFFFF" w:sz="0"/>
              <w:right w:val="none" w:color="FFFFFF" w:sz="0"/>
            </w:tcBorders>
            <w:tcMar>
              <w:top w:type="dxa" w:w="160"/>
              <w:left w:type="dxa" w:w="0"/>
              <w:bottom w:type="dxa" w:w="40"/>
              <w:right w:type="dxa" w:w="110"/>
            </w:tcMar>
            <w:vAlign w:val="center"/>
          </w:tcPr>
          <w:p>
            <w:pPr>
              <w:spacing w:after="0" w:before="0" w:line="264"/>
            </w:pPr>
            <w:r>
              <w:rPr>
                <w:rFonts w:ascii="Calibri" w:cs="Calibri" w:eastAsia="Calibri" w:hAnsi="Calibri"/>
                <w:b/>
                <w:bCs/>
                <w:color w:val="1F3A5F"/>
                <w:sz w:val="20"/>
                <w:szCs w:val="20"/>
              </w:rPr>
              <w:t xml:space="preserve">Next steps</w:t>
            </w:r>
            <w:r>
              <w:rPr>
                <w:rFonts w:ascii="Calibri" w:cs="Calibri" w:eastAsia="Calibri" w:hAnsi="Calibri"/>
                <w:i/>
                <w:iCs/>
                <w:color w:val="7A8796"/>
                <w:sz w:val="17"/>
                <w:szCs w:val="17"/>
              </w:rPr>
              <w:t xml:space="preserve">   Agreed goals for the student, with suggested activities</w:t>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Height w:val="440" w:hRule="exact"/>
        </w:trPr>
        <w:tc>
          <w:tcPr>
            <w:tcW w:type="dxa" w:w="9638"/>
            <w:tcBorders>
              <w:top w:val="none" w:color="FFFFFF" w:sz="0"/>
              <w:left w:val="none" w:color="FFFFFF" w:sz="0"/>
              <w:bottom w:val="single" w:color="C9D1DB" w:sz="4"/>
              <w:right w:val="none" w:color="FFFFFF" w:sz="0"/>
            </w:tcBorders>
            <w:tcMar>
              <w:top w:type="dxa" w:w="90"/>
              <w:left w:type="dxa" w:w="0"/>
              <w:bottom w:type="dxa" w:w="9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60" w:before="0" w:line="264"/>
      </w:pPr>
      <w:r>
        <w:rPr>
          <w:rFonts w:ascii="Calibri" w:cs="Calibri" w:eastAsia="Calibri" w:hAnsi="Calibri"/>
          <w:color w:val="222B36"/>
          <w:sz w:val="20"/>
          <w:szCs w:val="20"/>
        </w:rPr>
        <w:t xml:space="preserve"/>
      </w:r>
    </w:p>
    <w:tbl>
      <w:tblPr>
        <w:tblW w:type="dxa" w:w="9638"/>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700"/>
        <w:gridCol w:w="3119"/>
        <w:gridCol w:w="1700"/>
        <w:gridCol w:w="3119"/>
      </w:tblGrid>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Teacher</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Date</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r>
        <w:trPr>
          <w:cantSplit/>
        </w:trPr>
        <w:tc>
          <w:tcPr>
            <w:tcW w:type="dxa" w:w="1700"/>
            <w:tcBorders>
              <w:top w:val="none" w:color="FFFFFF" w:sz="0"/>
              <w:left w:val="none" w:color="FFFFFF" w:sz="0"/>
              <w:bottom w:val="none" w:color="FFFFFF" w:sz="0"/>
              <w:right w:val="none" w:color="FFFFFF" w:sz="0"/>
            </w:tcBorders>
            <w:tcMar>
              <w:top w:type="dxa" w:w="260"/>
              <w:left w:type="dxa" w:w="0"/>
              <w:bottom w:type="dxa" w:w="40"/>
              <w:right w:type="dxa" w:w="110"/>
            </w:tcMar>
            <w:vAlign w:val="center"/>
          </w:tcPr>
          <w:p>
            <w:pPr>
              <w:spacing w:after="0" w:before="0" w:line="264"/>
            </w:pPr>
            <w:r>
              <w:rPr>
                <w:rFonts w:ascii="Calibri" w:cs="Calibri" w:eastAsia="Calibri" w:hAnsi="Calibri"/>
                <w:b/>
                <w:bCs/>
                <w:color w:val="4A5A6E"/>
                <w:sz w:val="18"/>
                <w:szCs w:val="18"/>
              </w:rPr>
              <w:t xml:space="preserve">Student</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c>
          <w:tcPr>
            <w:tcW w:type="dxa" w:w="1700"/>
            <w:tcBorders>
              <w:top w:val="none" w:color="FFFFFF" w:sz="0"/>
              <w:left w:val="none" w:color="FFFFFF" w:sz="0"/>
              <w:bottom w:val="none" w:color="FFFFFF" w:sz="0"/>
              <w:right w:val="none" w:color="FFFFFF" w:sz="0"/>
            </w:tcBorders>
            <w:tcMar>
              <w:top w:type="dxa" w:w="260"/>
              <w:left w:type="dxa" w:w="240"/>
              <w:bottom w:type="dxa" w:w="40"/>
              <w:right w:type="dxa" w:w="110"/>
            </w:tcMar>
            <w:vAlign w:val="center"/>
          </w:tcPr>
          <w:p>
            <w:pPr>
              <w:spacing w:after="0" w:before="0" w:line="264"/>
            </w:pPr>
            <w:r>
              <w:rPr>
                <w:rFonts w:ascii="Calibri" w:cs="Calibri" w:eastAsia="Calibri" w:hAnsi="Calibri"/>
                <w:b/>
                <w:bCs/>
                <w:color w:val="4A5A6E"/>
                <w:sz w:val="18"/>
                <w:szCs w:val="18"/>
              </w:rPr>
              <w:t xml:space="preserve">Parent / guardian</w:t>
            </w:r>
          </w:p>
        </w:tc>
        <w:tc>
          <w:tcPr>
            <w:tcW w:type="dxa" w:w="3119"/>
            <w:tcBorders>
              <w:top w:val="none" w:color="FFFFFF" w:sz="0"/>
              <w:left w:val="none" w:color="FFFFFF" w:sz="0"/>
              <w:bottom w:val="single" w:color="C9D1DB" w:sz="4"/>
              <w:right w:val="none" w:color="FFFFFF" w:sz="0"/>
            </w:tcBorders>
            <w:tcMar>
              <w:top w:type="dxa" w:w="260"/>
              <w:left w:type="dxa" w:w="110"/>
              <w:bottom w:type="dxa" w:w="40"/>
              <w:right w:type="dxa" w:w="110"/>
            </w:tcMar>
            <w:vAlign w:val="center"/>
          </w:tcPr>
          <w:p>
            <w:pPr>
              <w:spacing w:after="0" w:before="0" w:line="264"/>
            </w:pPr>
            <w:r>
              <w:rPr>
                <w:rFonts w:ascii="Calibri" w:cs="Calibri" w:eastAsia="Calibri" w:hAnsi="Calibri"/>
                <w:color w:val="222B36"/>
                <w:sz w:val="20"/>
                <w:szCs w:val="20"/>
              </w:rPr>
              <w:t xml:space="preserve"/>
            </w:r>
          </w:p>
        </w:tc>
      </w:tr>
    </w:tbl>
    <w:p>
      <w:pPr>
        <w:spacing w:after="0" w:before="320" w:line="264"/>
        <w:jc w:val="center"/>
      </w:pPr>
      <w:r>
        <w:rPr>
          <w:rFonts w:ascii="Calibri" w:cs="Calibri" w:eastAsia="Calibri" w:hAnsi="Calibri"/>
          <w:i/>
          <w:iCs/>
          <w:color w:val="7A8796"/>
          <w:sz w:val="16"/>
          <w:szCs w:val="16"/>
        </w:rPr>
        <w:t xml:space="preserve">Completing this checklist indicates grammatical control broadly aligned with CEFR B1; it does not by itself certify overall CEFR proficiency.</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0" w:before="0" w:line="264"/>
    </w:pPr>
    <w:r>
      <w:rPr>
        <w:rFonts w:ascii="Calibri" w:cs="Calibri" w:eastAsia="Calibri" w:hAnsi="Calibri"/>
        <w:color w:val="7A8796"/>
        <w:sz w:val="15"/>
        <w:szCs w:val="15"/>
      </w:rPr>
      <w:t xml:space="preserve">© LLI · Lexilink Ideation</w:t>
    </w:r>
    <w:r>
      <w:rPr>
        <w:rFonts w:ascii="Calibri" w:cs="Calibri" w:eastAsia="Calibri" w:hAnsi="Calibri"/>
        <w:color w:val="7A8796"/>
        <w:sz w:val="15"/>
        <w:szCs w:val="15"/>
      </w:rPr>
      <w:t xml:space="preserve">	Page </w:t>
    </w:r>
    <w:r>
      <w:rPr>
        <w:rFonts w:ascii="Calibri" w:cs="Calibri" w:eastAsia="Calibri" w:hAnsi="Calibri"/>
        <w:color w:val="7A8796"/>
        <w:sz w:val="15"/>
        <w:szCs w:val="15"/>
      </w:rPr>
      <w:fldChar w:fldCharType="begin"/>
      <w:instrText xml:space="preserve">PAGE</w:instrText>
      <w:fldChar w:fldCharType="separate"/>
      <w:fldChar w:fldCharType="end"/>
    </w:r>
    <w:r>
      <w:rPr>
        <w:rFonts w:ascii="Calibri" w:cs="Calibri" w:eastAsia="Calibri" w:hAnsi="Calibri"/>
        <w:color w:val="7A8796"/>
        <w:sz w:val="15"/>
        <w:szCs w:val="15"/>
      </w:rPr>
      <w:t xml:space="preserve"> of </w:t>
    </w:r>
    <w:r>
      <w:rPr>
        <w:rFonts w:ascii="Calibri" w:cs="Calibri" w:eastAsia="Calibri" w:hAnsi="Calibri"/>
        <w:color w:val="7A879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tabs>
        <w:tab w:val="right" w:pos="9638"/>
      </w:tabs>
      <w:spacing w:after="0" w:before="0" w:line="264"/>
    </w:pPr>
    <w:r>
      <w:rPr>
        <w:rFonts w:ascii="Calibri" w:cs="Calibri" w:eastAsia="Calibri" w:hAnsi="Calibri"/>
        <w:b/>
        <w:bCs/>
        <w:color w:val="1F3A5F"/>
        <w:spacing w:val="20"/>
        <w:sz w:val="16"/>
        <w:szCs w:val="16"/>
      </w:rPr>
      <w:t xml:space="preserve">LLI</w:t>
    </w:r>
    <w:r>
      <w:rPr>
        <w:rFonts w:ascii="Calibri" w:cs="Calibri" w:eastAsia="Calibri" w:hAnsi="Calibri"/>
        <w:color w:val="4A5A6E"/>
        <w:sz w:val="16"/>
        <w:szCs w:val="16"/>
      </w:rPr>
      <w:t xml:space="preserve">  Lexilink Ideation</w:t>
    </w:r>
    <w:r>
      <w:rPr>
        <w:rFonts w:ascii="Calibri" w:cs="Calibri" w:eastAsia="Calibri" w:hAnsi="Calibri"/>
        <w:color w:val="7A8796"/>
        <w:sz w:val="16"/>
        <w:szCs w:val="16"/>
      </w:rPr>
      <w:t xml:space="preserve">	Grammar Mastery Checklist  ·  B1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8A6A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LLI Grammar Mastery Checklist — CEFR B1</dc:title>
  <dc:creator>LLI · Lexilink Ideation</dc:creator>
  <cp:lastModifiedBy>Un-named</cp:lastModifiedBy>
  <cp:revision>1</cp:revision>
  <dcterms:created xsi:type="dcterms:W3CDTF">2026-10-03T03:38:13.559Z</dcterms:created>
  <dcterms:modified xsi:type="dcterms:W3CDTF">2026-10-03T03:38:13.559Z</dcterms:modified>
</cp:coreProperties>
</file>

<file path=docProps/custom.xml><?xml version="1.0" encoding="utf-8"?>
<Properties xmlns="http://schemas.openxmlformats.org/officeDocument/2006/custom-properties" xmlns:vt="http://schemas.openxmlformats.org/officeDocument/2006/docPropsVTypes"/>
</file>