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F2027" w:val="clear"/>
            <w:vAlign w:val="top"/>
          </w:tcPr>
          <w:p>
            <w:pPr>
              <w:spacing w:before="4489"/>
            </w:pPr>
          </w:p>
          <w:p>
            <w:pPr>
              <w:spacing w:after="80" w:line="1012" w:lineRule="atLeast"/>
              <w:jc w:val="left"/>
            </w:pPr>
            <w:r>
              <w:rPr>
                <w:rFonts w:ascii="Times New Roman" w:eastAsia="SimHei"/>
                <w:b/>
                <w:bCs/>
                <w:color w:val="FFFFFF"/>
                <w:sz w:val="88"/>
                <w:szCs w:val="88"/>
              </w:rPr>
              <w:t xml:space="preserve">MarketRegi</w:t>
            </w:r>
          </w:p>
          <w:p>
            <w:pPr>
              <w:spacing w:after="80" w:line="1012" w:lineRule="atLeast"/>
              <w:jc w:val="left"/>
            </w:pPr>
            <w:r>
              <w:rPr>
                <w:rFonts w:ascii="Times New Roman" w:eastAsia="SimHei"/>
                <w:b/>
                <w:bCs/>
                <w:color w:val="FFFFFF"/>
                <w:sz w:val="88"/>
                <w:szCs w:val="88"/>
              </w:rPr>
              <w:t xml:space="preserve">meTrader</w:t>
            </w:r>
          </w:p>
          <w:p>
            <w:pPr>
              <w:spacing w:after="120" w:before="1417" w:line="360" w:lineRule="atLeast"/>
              <w:jc w:val="left"/>
            </w:pPr>
            <w:r>
              <w:rPr>
                <w:rFonts w:ascii="Times New Roman" w:eastAsia="Microsoft YaHei"/>
                <w:color w:val="B0B8C0"/>
                <w:sz w:val="28"/>
                <w:szCs w:val="28"/>
              </w:rPr>
              <w:t xml:space="preserve">Quantitative Finance Engine for Regime-Aware Trading</w:t>
            </w:r>
          </w:p>
          <w:p>
            <w:pPr>
              <w:pBdr>
                <w:top w:val="single" w:color="D4AF37" w:sz="12" w:space="16"/>
              </w:pBdr>
              <w:spacing w:after="200" w:before="200"/>
              <w:ind w:left="0" w:right="6000"/>
            </w:pPr>
          </w:p>
          <w:p>
            <w:pPr>
              <w:spacing w:after="80" w:line="280" w:lineRule="atLeast"/>
              <w:jc w:val="left"/>
            </w:pPr>
            <w:r>
              <w:rPr>
                <w:rFonts w:ascii="Calibri" w:eastAsia="Microsoft YaHei"/>
                <w:color w:val="90989F"/>
                <w:sz w:val="22"/>
                <w:szCs w:val="22"/>
              </w:rPr>
              <w:t xml:space="preserve">Hidden Markov Models | Topological Data Analysis | Kelly Criterion</w:t>
            </w:r>
          </w:p>
          <w:p>
            <w:pPr>
              <w:spacing w:after="80" w:line="280" w:lineRule="atLeast"/>
              <w:jc w:val="left"/>
            </w:pPr>
            <w:r>
              <w:rPr>
                <w:rFonts w:ascii="Calibri" w:eastAsia="Microsoft YaHei"/>
                <w:color w:val="90989F"/>
                <w:sz w:val="22"/>
                <w:szCs w:val="22"/>
              </w:rPr>
              <w:t xml:space="preserve">FastAPI REST API Serving Institutional-Grade Quantitative Models</w:t>
            </w:r>
          </w:p>
          <w:p>
            <w:pPr>
              <w:spacing w:before="2362"/>
            </w:pPr>
          </w:p>
          <w:p>
            <w:pPr>
              <w:jc w:val="left"/>
            </w:pPr>
            <w:r>
              <w:rPr>
                <w:rFonts w:ascii="Calibri" w:eastAsia="Microsoft YaHei"/>
                <w:color w:val="687078"/>
                <w:sz w:val="18"/>
                <w:szCs w:val="18"/>
              </w:rPr>
              <w:t xml:space="preserve">Noble Trader Agent  |  Backend Engine  |  2026</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Times New Roman" w:eastAsia="SimHei"/>
          <w:b/>
          <w:bCs/>
          <w:color w:val="0F2027"/>
          <w:sz w:val="32"/>
          <w:szCs w:val="32"/>
        </w:rPr>
        <w:t xml:space="preserve">Executive Overview</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MarketRegimeTrader is a sophisticated quantitative finance engine that powers the Noble Trader Agent platform with institutional-grade market analysis capabilities. Built in Python with a FastAPI REST interface, this backend system implements a complete pipeline from raw price data ingestion through regime detection, strategy signal generation, position sizing, risk assessment, and out-of-sample validation, all exposed as production-ready API endpoints that the NextJS frontend consumes in real time.</w:t>
      </w:r>
    </w:p>
    <w:p>
      <w:pPr>
        <w:spacing w:after="80" w:line="312"/>
        <w:jc w:val="both"/>
      </w:pPr>
      <w:r>
        <w:rPr>
          <w:rFonts w:ascii="Calibri" w:eastAsia="Microsoft YaHei"/>
          <w:color w:val="1A2B40"/>
          <w:sz w:val="24"/>
          <w:szCs w:val="24"/>
        </w:rPr>
        <w:t xml:space="preserve">At its core, the engine uses Hidden Markov Models (HMM) with multivariate Gaussian emissions to classify market conditions into distinct, statistically rigorous regimes. Unlike simple moving average crossovers or momentum oscillators, HMMs capture the probabilistic nature of market state transitions, providing not just a regime label but a full probability distribution over all possible states along with a transition matrix that quantifies the likelihood of moving from one regime to another. This probabilistic framework enables nuanced decision-making under uncertainty, a capability that deterministic indicators fundamentally cannot provide.</w:t>
      </w:r>
    </w:p>
    <w:p>
      <w:pPr>
        <w:spacing w:after="80" w:line="312"/>
        <w:jc w:val="both"/>
      </w:pPr>
      <w:r>
        <w:rPr>
          <w:rFonts w:ascii="Calibri" w:eastAsia="Microsoft YaHei"/>
          <w:color w:val="1A2B40"/>
          <w:sz w:val="24"/>
          <w:szCs w:val="24"/>
        </w:rPr>
        <w:t xml:space="preserve">The engine extends beyond regime detection with Topological Data Analysis (TDA) for early warning detection of structural market changes, a Kelly Criterion position sizing pipeline that progressively applies five layers of risk management, a comprehensive risk engine computing VaR, CVaR, and stress test scenarios, and a walk-forward analysis framework that validates strategies through rigorous out-of-sample testing. Each component is designed to work independently or as part of an integrated pipeline, giving the frontend maximum flexibility in how it constructs trading workflows.</w:t>
      </w:r>
    </w:p>
    <w:p>
      <w:pPr>
        <w:pStyle w:val="Heading1"/>
        <w:spacing w:after="160" w:before="360"/>
      </w:pPr>
      <w:r>
        <w:rPr>
          <w:rFonts w:ascii="Times New Roman" w:eastAsia="SimHei"/>
          <w:b/>
          <w:bCs/>
          <w:color w:val="0F2027"/>
          <w:sz w:val="32"/>
          <w:szCs w:val="32"/>
        </w:rPr>
        <w:t xml:space="preserve">Core Quantitative Models</w:t>
      </w:r>
    </w:p>
    <w:p>
      <w:pPr>
        <w:pBdr>
          <w:bottom w:val="single" w:color="D4AF37" w:sz="6" w:space="8"/>
        </w:pBdr>
        <w:spacing w:after="200" w:before="120"/>
        <w:ind w:left="0" w:right="0"/>
      </w:pPr>
    </w:p>
    <w:p>
      <w:pPr>
        <w:pStyle w:val="Heading2"/>
        <w:spacing w:after="120" w:before="280"/>
      </w:pPr>
      <w:r>
        <w:rPr>
          <w:rFonts w:ascii="Times New Roman" w:eastAsia="SimHei"/>
          <w:b/>
          <w:bCs/>
          <w:color w:val="0F2027"/>
          <w:sz w:val="28"/>
          <w:szCs w:val="28"/>
        </w:rPr>
        <w:t xml:space="preserve">Hidden Markov Model Regime Detector</w:t>
      </w:r>
    </w:p>
    <w:p>
      <w:pPr>
        <w:spacing w:after="80" w:line="312"/>
        <w:jc w:val="both"/>
      </w:pPr>
      <w:r>
        <w:rPr>
          <w:rFonts w:ascii="Calibri" w:eastAsia="Microsoft YaHei"/>
          <w:color w:val="1A2B40"/>
          <w:sz w:val="24"/>
          <w:szCs w:val="24"/>
        </w:rPr>
        <w:t xml:space="preserve">The HMMRegimeDetector is the foundational model of the engine, implementing an Expectation-Maximization algorithm for parameter estimation with multivariate Gaussian emissions. The model supports 2 to 4 regime configurations, automatically labeling each state based on its statistical characteristics: mean return, volatility, and transition dynamics. A 3-regime configuration typically yields Bearish Trend, Range-Bound, and Bullish Trend classifications, while a 2-regime setup distinguishes Bullish and Bearish markets, and a 4-regime model adds granularity with an additional volatility or recovery state.</w:t>
      </w:r>
    </w:p>
    <w:p>
      <w:pPr>
        <w:spacing w:after="80" w:line="312"/>
        <w:jc w:val="both"/>
      </w:pPr>
      <w:r>
        <w:rPr>
          <w:rFonts w:ascii="Calibri" w:eastAsia="Microsoft YaHei"/>
          <w:color w:val="1A2B40"/>
          <w:sz w:val="24"/>
          <w:szCs w:val="24"/>
        </w:rPr>
        <w:t xml:space="preserve">Feature engineering is a critical strength of the detector. Nine traditional technical features are available: returns, log-returns, rolling volatility, momentum, RSI, volume ratio, high-low spread, price position, and SMA ratio. Each feature is computed with a configurable lookback window (5-50 periods) and standardized before model fitting. Additionally, 10 topological features derived from persistent homology computations can be integrated directly into the HMM observation matrix, including topological complexity, persistence score, market structure index, Betti numbers (0 and 1-dimensional), persistence entropy, maximum persistence, and topological stability. This fusion of traditional technical indicators with topological features creates a uniquely rich feature space for regime classification.</w:t>
      </w:r>
    </w:p>
    <w:p>
      <w:pPr>
        <w:spacing w:after="80" w:line="312"/>
        <w:jc w:val="both"/>
      </w:pPr>
      <w:r>
        <w:rPr>
          <w:rFonts w:ascii="Calibri" w:eastAsia="Microsoft YaHei"/>
          <w:color w:val="1A2B40"/>
          <w:sz w:val="24"/>
          <w:szCs w:val="24"/>
        </w:rPr>
        <w:t xml:space="preserve">The model produces comprehensive regime statistics including frequency, duration distributions (mean, median, max, min), return metrics (mean, median, min, max, annualized), risk metrics (volatility, VaR at 95% and 99%, max drawdown, Sharpe and Sortino ratios), distribution characteristics (skewness, kurtosis, positive return ratio), and volatility persistence autocorrelation. The transition probability matrix is fully exposed, enabling the frontend to display regime change likelihoods and compute expected next-state probabilities.</w:t>
      </w:r>
    </w:p>
    <w:p>
      <w:pPr>
        <w:pStyle w:val="Heading2"/>
        <w:spacing w:after="120" w:before="280"/>
      </w:pPr>
      <w:r>
        <w:rPr>
          <w:rFonts w:ascii="Times New Roman" w:eastAsia="SimHei"/>
          <w:b/>
          <w:bCs/>
          <w:color w:val="0F2027"/>
          <w:sz w:val="28"/>
          <w:szCs w:val="28"/>
        </w:rPr>
        <w:t xml:space="preserve">Strategy Engine &amp; Factory</w:t>
      </w:r>
    </w:p>
    <w:p>
      <w:pPr>
        <w:spacing w:after="80" w:line="312"/>
        <w:jc w:val="both"/>
      </w:pPr>
      <w:r>
        <w:rPr>
          <w:rFonts w:ascii="Calibri" w:eastAsia="Microsoft YaHei"/>
          <w:color w:val="1A2B40"/>
          <w:sz w:val="24"/>
          <w:szCs w:val="24"/>
        </w:rPr>
        <w:t xml:space="preserve">The StrategyFactory implements a pluggable architecture for regime-aware trading strategies, providing seven pre-built strategy types that generate directional signals (Long, Short, Flat) based on the current detected regime and its characteristics. Each strategy respects regime boundaries, adjusting its behavior when the market transitions from one state to another rather than applying a single rule across all conditions.</w:t>
      </w:r>
    </w:p>
    <w:p>
      <w:pPr>
        <w:spacing w:after="80" w:line="312"/>
        <w:jc w:val="both"/>
      </w:pPr>
      <w:r>
        <w:rPr>
          <w:rFonts w:ascii="Calibri" w:eastAsia="Microsoft YaHei"/>
          <w:color w:val="1A2B40"/>
          <w:sz w:val="24"/>
          <w:szCs w:val="24"/>
        </w:rPr>
        <w:t xml:space="preserve">Available strategies include Regime Momentum (follows trends in bullish/bearish regimes), Mean Reversion (exploits contrarian opportunities in range-bound phases), Adaptive Volatility (adjusts position sizing based on regime volatility), Contrarian (fades extreme movements within regimes), Trend Following (multi-timeframe trend detection), and two TDA-enhanced variants that integrate topological features into the signal generation process. The factory also supports auto-generated strategies created through the strategy evolution engine, where genetically-evolved trading expressions are adapted into the standard strategy interface.</w:t>
      </w:r>
    </w:p>
    <w:p>
      <w:pPr>
        <w:spacing w:after="80" w:line="312"/>
        <w:jc w:val="both"/>
      </w:pPr>
      <w:r>
        <w:rPr>
          <w:rFonts w:ascii="Calibri" w:eastAsia="Microsoft YaHei"/>
          <w:color w:val="1A2B40"/>
          <w:sz w:val="24"/>
          <w:szCs w:val="24"/>
        </w:rPr>
        <w:t xml:space="preserve">A built-in strategy recommendation engine analyzes the regime distribution and volatility level of the current dataset to suggest the most appropriate strategy type. When the market is dominated by a single regime (frequency &gt; 60%), trend-following or momentum strategies are recommended. When regime changes are frequent, adaptive strategies are preferred. This context-aware recommendation ensures that traders do not apply a trending strategy to a sideways market or a mean-reversion strategy to a momentum-driven environment.</w:t>
      </w:r>
    </w:p>
    <w:p>
      <w:pPr>
        <w:pStyle w:val="Heading2"/>
        <w:spacing w:after="120" w:before="280"/>
      </w:pPr>
      <w:r>
        <w:rPr>
          <w:rFonts w:ascii="Times New Roman" w:eastAsia="SimHei"/>
          <w:b/>
          <w:bCs/>
          <w:color w:val="0F2027"/>
          <w:sz w:val="28"/>
          <w:szCs w:val="28"/>
        </w:rPr>
        <w:t xml:space="preserve">Kelly Criterion Position Sizing</w:t>
      </w:r>
    </w:p>
    <w:p>
      <w:pPr>
        <w:spacing w:after="80" w:line="312"/>
        <w:jc w:val="both"/>
      </w:pPr>
      <w:r>
        <w:rPr>
          <w:rFonts w:ascii="Calibri" w:eastAsia="Microsoft YaHei"/>
          <w:color w:val="1A2B40"/>
          <w:sz w:val="24"/>
          <w:szCs w:val="24"/>
        </w:rPr>
        <w:t xml:space="preserve">The position sizing module implements the Kelly Criterion, one of the most mathematically rigorous approaches to capital allocation derived from information theory. The Kelly fraction represents the theoretically optimal bet size that maximizes the geometric growth rate of capital over an infinite sequence of bets. However, full Kelly sizing is notoriously aggressive, and the engine therefore applies a progressive five-stage pipeline: Full Kelly, Fractional Kelly (typically half-Kelly), Volatility-Scaled Kelly, Regime-Gated Kelly, and the final Recommended Size.</w:t>
      </w:r>
    </w:p>
    <w:p>
      <w:pPr>
        <w:spacing w:after="80" w:line="312"/>
        <w:jc w:val="both"/>
      </w:pPr>
      <w:r>
        <w:rPr>
          <w:rFonts w:ascii="Calibri" w:eastAsia="Microsoft YaHei"/>
          <w:color w:val="1A2B40"/>
          <w:sz w:val="24"/>
          <w:szCs w:val="24"/>
        </w:rPr>
        <w:t xml:space="preserve">Each stage applies an additional constraint that reflects a real-world risk consideration. Fractional Kelly reduces the theoretical optimum to a more conservative level that tolerates estimation error. Volatility scaling adjusts for the current regime's realized volatility, reducing exposure in high-volatility environments. Regime gating applies a multiplier based on the confidence in the current regime classification, reducing position sizes when regime uncertainty is high. The result is a position size that is theoretically grounded in optimal growth mathematics while being practically constrained to survive adverse scenarios.</w:t>
      </w:r>
    </w:p>
    <w:p>
      <w:pPr>
        <w:pStyle w:val="Heading2"/>
        <w:spacing w:after="120" w:before="280"/>
      </w:pPr>
      <w:r>
        <w:rPr>
          <w:rFonts w:ascii="Times New Roman" w:eastAsia="SimHei"/>
          <w:b/>
          <w:bCs/>
          <w:color w:val="0F2027"/>
          <w:sz w:val="28"/>
          <w:szCs w:val="28"/>
        </w:rPr>
        <w:t xml:space="preserve">Comprehensive Risk Engine</w:t>
      </w:r>
    </w:p>
    <w:p>
      <w:pPr>
        <w:spacing w:after="80" w:line="312"/>
        <w:jc w:val="both"/>
      </w:pPr>
      <w:r>
        <w:rPr>
          <w:rFonts w:ascii="Calibri" w:eastAsia="Microsoft YaHei"/>
          <w:color w:val="1A2B40"/>
          <w:sz w:val="24"/>
          <w:szCs w:val="24"/>
        </w:rPr>
        <w:t xml:space="preserve">The RiskEngine provides multi-dimensional risk analysis at both the individual position and portfolio levels. It computes Value at Risk (VaR) and Conditional Value at Risk (CVaR) at configurable confidence levels (default 95% and 99%) using historical simulation, capturing tail risk that volatility measures alone cannot quantify. Downside volatility isolates the risk of negative returns, distinguishing harmful drawdown risk from beneficial upside volatility.</w:t>
      </w:r>
    </w:p>
    <w:p>
      <w:pPr>
        <w:spacing w:after="80" w:line="312"/>
        <w:jc w:val="both"/>
      </w:pPr>
      <w:r>
        <w:rPr>
          <w:rFonts w:ascii="Calibri" w:eastAsia="Microsoft YaHei"/>
          <w:color w:val="1A2B40"/>
          <w:sz w:val="24"/>
          <w:szCs w:val="24"/>
        </w:rPr>
        <w:t xml:space="preserve">Risk-adjusted performance metrics include the Sortino ratio (return versus downside volatility only), Calmar ratio (annualized return versus maximum drawdown), and tail ratio (ratio of upper-to-lower tail returns). Upside and downside capture ratios measure how the portfolio performs relative to a benchmark in rising and falling markets respectively. A stress testing module simulates extreme scenarios including a 2008-style market crash (30% decline), flash crash (10% single-day decline), 3-sigma volatility shock, and 1st percentile tail events, computing the portfolio impact under each scenario.</w:t>
      </w:r>
    </w:p>
    <w:p>
      <w:pPr>
        <w:spacing w:after="80" w:line="312"/>
        <w:jc w:val="both"/>
      </w:pPr>
      <w:r>
        <w:rPr>
          <w:rFonts w:ascii="Calibri" w:eastAsia="Microsoft YaHei"/>
          <w:color w:val="1A2B40"/>
          <w:sz w:val="24"/>
          <w:szCs w:val="24"/>
        </w:rPr>
        <w:t xml:space="preserve">Rolling risk metrics are computed over configurable windows, providing time-varying estimates of volatility, VaR, and Sharpe ratio that adapt to changing market conditions. The portfolio-level VaR calculation uses a correlation-based approach to decompose total portfolio risk into component contributions from each asset, enabling diversification analysis through the diversification ratio metric.</w:t>
      </w:r>
    </w:p>
    <w:p>
      <w:pPr>
        <w:pStyle w:val="Heading2"/>
        <w:spacing w:after="120" w:before="280"/>
      </w:pPr>
      <w:r>
        <w:rPr>
          <w:rFonts w:ascii="Times New Roman" w:eastAsia="SimHei"/>
          <w:b/>
          <w:bCs/>
          <w:color w:val="0F2027"/>
          <w:sz w:val="28"/>
          <w:szCs w:val="28"/>
        </w:rPr>
        <w:t xml:space="preserve">Walk-Forward Analysis Framework</w:t>
      </w:r>
    </w:p>
    <w:p>
      <w:pPr>
        <w:spacing w:after="80" w:line="312"/>
        <w:jc w:val="both"/>
      </w:pPr>
      <w:r>
        <w:rPr>
          <w:rFonts w:ascii="Calibri" w:eastAsia="Microsoft YaHei"/>
          <w:color w:val="1A2B40"/>
          <w:sz w:val="24"/>
          <w:szCs w:val="24"/>
        </w:rPr>
        <w:t xml:space="preserve">The WalkForwardAnalyzer implements the gold standard of strategy validation: rolling out-of-sample testing with configurable training and testing windows. The framework divides historical data into sequential windows, training the strategy on each training period and evaluating it on the subsequent test period that the model has never seen. This approach directly measures the strategy's ability to generalize to unseen data, detecting overfitting that would be invisible in an in-sample backtest.</w:t>
      </w:r>
    </w:p>
    <w:p>
      <w:pPr>
        <w:spacing w:after="80" w:line="312"/>
        <w:jc w:val="both"/>
      </w:pPr>
      <w:r>
        <w:rPr>
          <w:rFonts w:ascii="Calibri" w:eastAsia="Microsoft YaHei"/>
          <w:color w:val="1A2B40"/>
          <w:sz w:val="24"/>
          <w:szCs w:val="24"/>
        </w:rPr>
        <w:t xml:space="preserve">Each walk-forward window can include Optuna-based hyperparameter optimization on the training set before evaluation on the test set, with configurable trial counts. The framework computes comprehensive diagnostics for each window including train-test performance gaps, parameter stability across windows, and strategy degradation metrics. Trade-level diagnostics with clustering analysis identify patterns in winning versus losing trades, providing actionable insights for strategy refinement.</w:t>
      </w:r>
    </w:p>
    <w:p>
      <w:pPr>
        <w:pStyle w:val="Heading2"/>
        <w:spacing w:after="120" w:before="280"/>
      </w:pPr>
      <w:r>
        <w:rPr>
          <w:rFonts w:ascii="Times New Roman" w:eastAsia="SimHei"/>
          <w:b/>
          <w:bCs/>
          <w:color w:val="0F2027"/>
          <w:sz w:val="28"/>
          <w:szCs w:val="28"/>
        </w:rPr>
        <w:t xml:space="preserve">Topological Data Analysis (TDA)</w:t>
      </w:r>
    </w:p>
    <w:p>
      <w:pPr>
        <w:spacing w:after="80" w:line="312"/>
        <w:jc w:val="both"/>
      </w:pPr>
      <w:r>
        <w:rPr>
          <w:rFonts w:ascii="Calibri" w:eastAsia="Microsoft YaHei"/>
          <w:color w:val="1A2B40"/>
          <w:sz w:val="24"/>
          <w:szCs w:val="24"/>
        </w:rPr>
        <w:t xml:space="preserve">The TDA module implements persistent homology computation using the Ripser library, extracting topological features from price data that capture the geometric structure of market dynamics at a fundamental level. Unlike traditional indicators that measure scalar quantities like momentum or volatility, TDA measures the shape of the data itself: how many connected components exist (Betti-0), how many loops or cycles are present (Betti-1), and how these structures persist across different scales.</w:t>
      </w:r>
    </w:p>
    <w:p>
      <w:pPr>
        <w:spacing w:after="80" w:line="312"/>
        <w:jc w:val="both"/>
      </w:pPr>
      <w:r>
        <w:rPr>
          <w:rFonts w:ascii="Calibri" w:eastAsia="Microsoft YaHei"/>
          <w:color w:val="1A2B40"/>
          <w:sz w:val="24"/>
          <w:szCs w:val="24"/>
        </w:rPr>
        <w:t xml:space="preserve">The TopologicalFeatureExtractor computes 10 key features: topological complexity (overall structural richness), persistence score (stability of detected patterns), market structure index (composite structural health indicator), Betti numbers for dimensions 0 and 1, persistence entropy for both dimensions, maximum persistence values, and topological stability. These features serve dual purposes: they enrich the HMM feature matrix for improved regime classification, and they provide an independent early warning system that detects structural market changes before they manifest in price movements.</w:t>
      </w:r>
    </w:p>
    <w:p>
      <w:pPr>
        <w:spacing w:after="80" w:line="312"/>
        <w:jc w:val="both"/>
      </w:pPr>
      <w:r>
        <w:rPr>
          <w:rFonts w:ascii="Calibri" w:eastAsia="Microsoft YaHei"/>
          <w:color w:val="1A2B40"/>
          <w:sz w:val="24"/>
          <w:szCs w:val="24"/>
        </w:rPr>
        <w:t xml:space="preserve">The TDA anomaly detection system monitors Betti number changes and persistence score shifts against critical thresholds, generating alerts when topological structures undergo significant transformation. An anomaly score quantifies the degree of structural deviation from baseline, and a regime change probability estimate translates topological signals into actionable regime transition forecasts. This capability provides traders with advance notice measured in hours or days, not minutes.</w:t>
      </w:r>
    </w:p>
    <w:p>
      <w:pPr>
        <w:pStyle w:val="Heading1"/>
        <w:spacing w:after="160" w:before="360"/>
      </w:pPr>
      <w:r>
        <w:rPr>
          <w:rFonts w:ascii="Times New Roman" w:eastAsia="SimHei"/>
          <w:b/>
          <w:bCs/>
          <w:color w:val="0F2027"/>
          <w:sz w:val="32"/>
          <w:szCs w:val="32"/>
        </w:rPr>
        <w:t xml:space="preserve">REST API Endpoints</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All quantitative models are exposed as production-ready FastAPI endpoints with Pydantic request and response schemas for type safety and automatic documentation. The API follows a pipeline architecture where each endpoint corresponds to a distinct analytical stage, enabling the frontend to compose custom workflows by chaining calls in the appropriate order.</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Calibri" w:eastAsia="SimHei"/>
                <w:b/>
                <w:bCs/>
                <w:color w:val="1A1A1A"/>
                <w:sz w:val="21"/>
                <w:szCs w:val="21"/>
              </w:rPr>
              <w:t xml:space="preserve">Endpoint</w:t>
            </w:r>
          </w:p>
        </w:tc>
        <w:tc>
          <w:tcPr>
            <w:shd w:fill="C9A84C" w:val="clear"/>
            <w:tcMar>
              <w:top w:type="dxa" w:w="60"/>
              <w:left w:type="dxa" w:w="120"/>
              <w:bottom w:type="dxa" w:w="60"/>
              <w:right w:type="dxa" w:w="120"/>
            </w:tcMar>
          </w:tcPr>
          <w:p>
            <w:r>
              <w:rPr>
                <w:rFonts w:ascii="Calibri" w:eastAsia="SimHei"/>
                <w:b/>
                <w:bCs/>
                <w:color w:val="1A1A1A"/>
                <w:sz w:val="21"/>
                <w:szCs w:val="21"/>
              </w:rPr>
              <w:t xml:space="preserve">Method</w:t>
            </w:r>
          </w:p>
        </w:tc>
        <w:tc>
          <w:tcPr>
            <w:shd w:fill="C9A84C" w:val="clear"/>
            <w:tcMar>
              <w:top w:type="dxa" w:w="60"/>
              <w:left w:type="dxa" w:w="120"/>
              <w:bottom w:type="dxa" w:w="60"/>
              <w:right w:type="dxa" w:w="120"/>
            </w:tcMar>
          </w:tcPr>
          <w:p>
            <w:r>
              <w:rPr>
                <w:rFonts w:ascii="Calibri" w:eastAsia="SimHei"/>
                <w:b/>
                <w:bCs/>
                <w:color w:val="1A1A1A"/>
                <w:sz w:val="21"/>
                <w:szCs w:val="21"/>
              </w:rPr>
              <w:t xml:space="preserve">Model</w:t>
            </w:r>
          </w:p>
        </w:tc>
        <w:tc>
          <w:tcPr>
            <w:shd w:fill="C9A84C" w:val="clear"/>
            <w:tcMar>
              <w:top w:type="dxa" w:w="60"/>
              <w:left w:type="dxa" w:w="120"/>
              <w:bottom w:type="dxa" w:w="60"/>
              <w:right w:type="dxa" w:w="120"/>
            </w:tcMar>
          </w:tcPr>
          <w:p>
            <w:r>
              <w:rPr>
                <w:rFonts w:ascii="Calibri" w:eastAsia="SimHei"/>
                <w:b/>
                <w:bCs/>
                <w:color w:val="1A1A1A"/>
                <w:sz w:val="21"/>
                <w:szCs w:val="21"/>
              </w:rPr>
              <w:t xml:space="preserve">Description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/regime/detect-v2</w:t>
            </w:r>
          </w:p>
        </w:tc>
        <w:tc>
          <w:tcPr>
            <w:shd w:fill="F5F2E8" w:val="clear"/>
            <w:tcMar>
              <w:top w:type="dxa" w:w="60"/>
              <w:left w:type="dxa" w:w="120"/>
              <w:bottom w:type="dxa" w:w="60"/>
              <w:right w:type="dxa" w:w="120"/>
            </w:tcMar>
          </w:tcPr>
          <w:p>
            <w:r>
              <w:rPr>
                <w:rFonts w:ascii="Calibri" w:eastAsia="Microsoft YaHei"/>
                <w:color w:val="1A2B40"/>
                <w:sz w:val="21"/>
                <w:szCs w:val="21"/>
              </w:rPr>
              <w:t xml:space="preserve">POST</w:t>
            </w:r>
          </w:p>
        </w:tc>
        <w:tc>
          <w:tcPr>
            <w:shd w:fill="F5F2E8" w:val="clear"/>
            <w:tcMar>
              <w:top w:type="dxa" w:w="60"/>
              <w:left w:type="dxa" w:w="120"/>
              <w:bottom w:type="dxa" w:w="60"/>
              <w:right w:type="dxa" w:w="120"/>
            </w:tcMar>
          </w:tcPr>
          <w:p>
            <w:r>
              <w:rPr>
                <w:rFonts w:ascii="Calibri" w:eastAsia="Microsoft YaHei"/>
                <w:color w:val="1A2B40"/>
                <w:sz w:val="21"/>
                <w:szCs w:val="21"/>
              </w:rPr>
              <w:t xml:space="preserve">HMMRegimeDetector</w:t>
            </w:r>
          </w:p>
        </w:tc>
        <w:tc>
          <w:tcPr>
            <w:shd w:fill="F5F2E8" w:val="clear"/>
            <w:tcMar>
              <w:top w:type="dxa" w:w="60"/>
              <w:left w:type="dxa" w:w="120"/>
              <w:bottom w:type="dxa" w:w="60"/>
              <w:right w:type="dxa" w:w="120"/>
            </w:tcMar>
          </w:tcPr>
          <w:p>
            <w:r>
              <w:rPr>
                <w:rFonts w:ascii="Calibri" w:eastAsia="Microsoft YaHei"/>
                <w:color w:val="1A2B40"/>
                <w:sz w:val="21"/>
                <w:szCs w:val="21"/>
              </w:rPr>
              <w:t xml:space="preserve">2-4 state auto-labeled regime detection with confidence scores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/strategy/signal</w:t>
            </w:r>
          </w:p>
        </w:tc>
        <w:tc>
          <w:tcPr>
            <w:shd w:fill="FFFFFF" w:val="clear"/>
            <w:tcMar>
              <w:top w:type="dxa" w:w="60"/>
              <w:left w:type="dxa" w:w="120"/>
              <w:bottom w:type="dxa" w:w="60"/>
              <w:right w:type="dxa" w:w="120"/>
            </w:tcMar>
          </w:tcPr>
          <w:p>
            <w:r>
              <w:rPr>
                <w:rFonts w:ascii="Calibri" w:eastAsia="Microsoft YaHei"/>
                <w:color w:val="1A2B40"/>
                <w:sz w:val="21"/>
                <w:szCs w:val="21"/>
              </w:rPr>
              <w:t xml:space="preserve">POST</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StrategyFactory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Directional signals with Kelly position sizing</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/risk/analyze</w:t>
            </w:r>
          </w:p>
        </w:tc>
        <w:tc>
          <w:tcPr>
            <w:shd w:fill="F5F2E8" w:val="clear"/>
            <w:tcMar>
              <w:top w:type="dxa" w:w="60"/>
              <w:left w:type="dxa" w:w="120"/>
              <w:bottom w:type="dxa" w:w="60"/>
              <w:right w:type="dxa" w:w="120"/>
            </w:tcMar>
          </w:tcPr>
          <w:p>
            <w:r>
              <w:rPr>
                <w:rFonts w:ascii="Calibri" w:eastAsia="Microsoft YaHei"/>
                <w:color w:val="1A2B40"/>
                <w:sz w:val="21"/>
                <w:szCs w:val="21"/>
              </w:rPr>
              <w:t xml:space="preserve">POST</w:t>
            </w:r>
          </w:p>
        </w:tc>
        <w:tc>
          <w:tcPr>
            <w:shd w:fill="F5F2E8" w:val="clear"/>
            <w:tcMar>
              <w:top w:type="dxa" w:w="60"/>
              <w:left w:type="dxa" w:w="120"/>
              <w:bottom w:type="dxa" w:w="60"/>
              <w:right w:type="dxa" w:w="120"/>
            </w:tcMar>
          </w:tcPr>
          <w:p>
            <w:r>
              <w:rPr>
                <w:rFonts w:ascii="Calibri" w:eastAsia="Microsoft YaHei"/>
                <w:color w:val="1A2B40"/>
                <w:sz w:val="21"/>
                <w:szCs w:val="21"/>
              </w:rPr>
              <w:t xml:space="preserve">RiskEngine</w:t>
            </w:r>
          </w:p>
        </w:tc>
        <w:tc>
          <w:tcPr>
            <w:shd w:fill="F5F2E8" w:val="clear"/>
            <w:tcMar>
              <w:top w:type="dxa" w:w="60"/>
              <w:left w:type="dxa" w:w="120"/>
              <w:bottom w:type="dxa" w:w="60"/>
              <w:right w:type="dxa" w:w="120"/>
            </w:tcMar>
          </w:tcPr>
          <w:p>
            <w:r>
              <w:rPr>
                <w:rFonts w:ascii="Calibri" w:eastAsia="Microsoft YaHei"/>
                <w:color w:val="1A2B40"/>
                <w:sz w:val="21"/>
                <w:szCs w:val="21"/>
              </w:rPr>
              <w:t xml:space="preserve">VaR, CVaR, drawdown, stress tests, capture ratios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/backtest/run</w:t>
            </w:r>
          </w:p>
        </w:tc>
        <w:tc>
          <w:tcPr>
            <w:shd w:fill="FFFFFF" w:val="clear"/>
            <w:tcMar>
              <w:top w:type="dxa" w:w="60"/>
              <w:left w:type="dxa" w:w="120"/>
              <w:bottom w:type="dxa" w:w="60"/>
              <w:right w:type="dxa" w:w="120"/>
            </w:tcMar>
          </w:tcPr>
          <w:p>
            <w:r>
              <w:rPr>
                <w:rFonts w:ascii="Calibri" w:eastAsia="Microsoft YaHei"/>
                <w:color w:val="1A2B40"/>
                <w:sz w:val="21"/>
                <w:szCs w:val="21"/>
              </w:rPr>
              <w:t xml:space="preserve">POST</w:t>
            </w:r>
          </w:p>
        </w:tc>
        <w:tc>
          <w:tcPr>
            <w:shd w:fill="FFFFFF" w:val="clear"/>
            <w:tcMar>
              <w:top w:type="dxa" w:w="60"/>
              <w:left w:type="dxa" w:w="120"/>
              <w:bottom w:type="dxa" w:w="60"/>
              <w:right w:type="dxa" w:w="120"/>
            </w:tcMar>
          </w:tcPr>
          <w:p>
            <w:r>
              <w:rPr>
                <w:rFonts w:ascii="Calibri" w:eastAsia="Microsoft YaHei"/>
                <w:color w:val="1A2B40"/>
                <w:sz w:val="21"/>
                <w:szCs w:val="21"/>
              </w:rPr>
              <w:t xml:space="preserve">BacktestEngine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Full backtest with 30+ performance metrics</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/tda/features</w:t>
            </w:r>
          </w:p>
        </w:tc>
        <w:tc>
          <w:tcPr>
            <w:shd w:fill="F5F2E8" w:val="clear"/>
            <w:tcMar>
              <w:top w:type="dxa" w:w="60"/>
              <w:left w:type="dxa" w:w="120"/>
              <w:bottom w:type="dxa" w:w="60"/>
              <w:right w:type="dxa" w:w="120"/>
            </w:tcMar>
          </w:tcPr>
          <w:p>
            <w:r>
              <w:rPr>
                <w:rFonts w:ascii="Calibri" w:eastAsia="Microsoft YaHei"/>
                <w:color w:val="1A2B40"/>
                <w:sz w:val="21"/>
                <w:szCs w:val="21"/>
              </w:rPr>
              <w:t xml:space="preserve">POST</w:t>
            </w:r>
          </w:p>
        </w:tc>
        <w:tc>
          <w:tcPr>
            <w:shd w:fill="F5F2E8" w:val="clear"/>
            <w:tcMar>
              <w:top w:type="dxa" w:w="60"/>
              <w:left w:type="dxa" w:w="120"/>
              <w:bottom w:type="dxa" w:w="60"/>
              <w:right w:type="dxa" w:w="120"/>
            </w:tcMar>
          </w:tcPr>
          <w:p>
            <w:r>
              <w:rPr>
                <w:rFonts w:ascii="Calibri" w:eastAsia="Microsoft YaHei"/>
                <w:color w:val="1A2B40"/>
                <w:sz w:val="21"/>
                <w:szCs w:val="21"/>
              </w:rPr>
              <w:t xml:space="preserve">TopologicalFeatureExtractor</w:t>
            </w:r>
          </w:p>
        </w:tc>
        <w:tc>
          <w:tcPr>
            <w:shd w:fill="F5F2E8" w:val="clear"/>
            <w:tcMar>
              <w:top w:type="dxa" w:w="60"/>
              <w:left w:type="dxa" w:w="120"/>
              <w:bottom w:type="dxa" w:w="60"/>
              <w:right w:type="dxa" w:w="120"/>
            </w:tcMar>
          </w:tcPr>
          <w:p>
            <w:r>
              <w:rPr>
                <w:rFonts w:ascii="Calibri" w:eastAsia="Microsoft YaHei"/>
                <w:color w:val="1A2B40"/>
                <w:sz w:val="21"/>
                <w:szCs w:val="21"/>
              </w:rPr>
              <w:t xml:space="preserve">Persistent homology, Betti numbers, anomaly scores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/observation/build-v2</w:t>
            </w:r>
          </w:p>
        </w:tc>
        <w:tc>
          <w:tcPr>
            <w:shd w:fill="FFFFFF" w:val="clear"/>
            <w:tcMar>
              <w:top w:type="dxa" w:w="60"/>
              <w:left w:type="dxa" w:w="120"/>
              <w:bottom w:type="dxa" w:w="60"/>
              <w:right w:type="dxa" w:w="120"/>
            </w:tcMar>
          </w:tcPr>
          <w:p>
            <w:r>
              <w:rPr>
                <w:rFonts w:ascii="Calibri" w:eastAsia="Microsoft YaHei"/>
                <w:color w:val="1A2B40"/>
                <w:sz w:val="21"/>
                <w:szCs w:val="21"/>
              </w:rPr>
              <w:t xml:space="preserve">POST</w:t>
            </w:r>
          </w:p>
        </w:tc>
        <w:tc>
          <w:tcPr>
            <w:shd w:fill="FFFFFF" w:val="clear"/>
            <w:tcMar>
              <w:top w:type="dxa" w:w="60"/>
              <w:left w:type="dxa" w:w="120"/>
              <w:bottom w:type="dxa" w:w="60"/>
              <w:right w:type="dxa" w:w="120"/>
            </w:tcMar>
          </w:tcPr>
          <w:p>
            <w:r>
              <w:rPr>
                <w:rFonts w:ascii="Calibri" w:eastAsia="Microsoft YaHei"/>
                <w:color w:val="1A2B40"/>
                <w:sz w:val="21"/>
                <w:szCs w:val="21"/>
              </w:rPr>
              <w:t xml:space="preserve">Feature Pipeline</w:t>
            </w:r>
          </w:p>
        </w:tc>
        <w:tc>
          <w:tcPr>
            <w:shd w:fill="FFFFFF" w:val="clear"/>
            <w:tcMar>
              <w:top w:type="dxa" w:w="60"/>
              <w:left w:type="dxa" w:w="120"/>
              <w:bottom w:type="dxa" w:w="60"/>
              <w:right w:type="dxa" w:w="120"/>
            </w:tcMar>
          </w:tcPr>
          <w:p>
            <w:r>
              <w:rPr>
                <w:rFonts w:ascii="Calibri" w:eastAsia="Microsoft YaHei"/>
                <w:color w:val="1A2B40"/>
                <w:sz w:val="21"/>
                <w:szCs w:val="21"/>
              </w:rPr>
              <w:t xml:space="preserve">24-dimensional observation feature vector</w:t>
            </w:r>
          </w:p>
        </w:tc>
      </w:tr>
    </w:tbl>
    <w:p>
      <w:pPr>
        <w:spacing w:after="80" w:line="312"/>
        <w:jc w:val="both"/>
      </w:pPr>
      <w:r>
        <w:rPr>
          <w:rFonts w:ascii="Calibri" w:eastAsia="Microsoft YaHei"/>
          <w:color w:val="1A2B40"/>
          <w:sz w:val="24"/>
          <w:szCs w:val="24"/>
        </w:rPr>
        <w:t xml:space="preserve">Each endpoint accepts a standardized request schema including symbol identifier, time period, and model-specific parameters, and returns a structured JSON response with all computed metrics. The FastAPI auto-generated documentation at /docs provides interactive Swagger UI for testing and integration.</w:t>
      </w:r>
    </w:p>
    <w:p>
      <w:pPr>
        <w:pStyle w:val="Heading1"/>
        <w:spacing w:after="160" w:before="360"/>
      </w:pPr>
      <w:r>
        <w:rPr>
          <w:rFonts w:ascii="Times New Roman" w:eastAsia="SimHei"/>
          <w:b/>
          <w:bCs/>
          <w:color w:val="0F2027"/>
          <w:sz w:val="32"/>
          <w:szCs w:val="32"/>
        </w:rPr>
        <w:t xml:space="preserve">Architecture &amp; Module Design</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The engine follows a modular architecture where each quantitative model is encapsulated in its own Python class with a clean API boundary. This design ensures that models can be developed, tested, and deployed independently, and that the FastAPI endpoint layer serves as a thin adapter that translates HTTP requests into model calls and model outputs into JSON responses.</w:t>
      </w: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tblGrid>
      <w:tr>
        <w:trPr>
          <w:cantSplit/>
          <w:tblHeader/>
        </w:trPr>
        <w:tc>
          <w:tcPr>
            <w:shd w:fill="C9A84C" w:val="clear"/>
            <w:tcMar>
              <w:top w:type="dxa" w:w="60"/>
              <w:left w:type="dxa" w:w="120"/>
              <w:bottom w:type="dxa" w:w="60"/>
              <w:right w:type="dxa" w:w="120"/>
            </w:tcMar>
          </w:tcPr>
          <w:p>
            <w:r>
              <w:rPr>
                <w:rFonts w:ascii="Calibri" w:eastAsia="SimHei"/>
                <w:b/>
                <w:bCs/>
                <w:color w:val="1A1A1A"/>
                <w:sz w:val="21"/>
                <w:szCs w:val="21"/>
              </w:rPr>
              <w:t xml:space="preserve">Module</w:t>
            </w:r>
          </w:p>
        </w:tc>
        <w:tc>
          <w:tcPr>
            <w:shd w:fill="C9A84C" w:val="clear"/>
            <w:tcMar>
              <w:top w:type="dxa" w:w="60"/>
              <w:left w:type="dxa" w:w="120"/>
              <w:bottom w:type="dxa" w:w="60"/>
              <w:right w:type="dxa" w:w="120"/>
            </w:tcMar>
          </w:tcPr>
          <w:p>
            <w:r>
              <w:rPr>
                <w:rFonts w:ascii="Calibri" w:eastAsia="SimHei"/>
                <w:b/>
                <w:bCs/>
                <w:color w:val="1A1A1A"/>
                <w:sz w:val="21"/>
                <w:szCs w:val="21"/>
              </w:rPr>
              <w:t xml:space="preserve">File</w:t>
            </w:r>
          </w:p>
        </w:tc>
        <w:tc>
          <w:tcPr>
            <w:shd w:fill="C9A84C" w:val="clear"/>
            <w:tcMar>
              <w:top w:type="dxa" w:w="60"/>
              <w:left w:type="dxa" w:w="120"/>
              <w:bottom w:type="dxa" w:w="60"/>
              <w:right w:type="dxa" w:w="120"/>
            </w:tcMar>
          </w:tcPr>
          <w:p>
            <w:r>
              <w:rPr>
                <w:rFonts w:ascii="Calibri" w:eastAsia="SimHei"/>
                <w:b/>
                <w:bCs/>
                <w:color w:val="1A1A1A"/>
                <w:sz w:val="21"/>
                <w:szCs w:val="21"/>
              </w:rPr>
              <w:t xml:space="preserve">Purpose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HMM Regime Detector</w:t>
            </w:r>
          </w:p>
        </w:tc>
        <w:tc>
          <w:tcPr>
            <w:shd w:fill="F5F2E8" w:val="clear"/>
            <w:tcMar>
              <w:top w:type="dxa" w:w="60"/>
              <w:left w:type="dxa" w:w="120"/>
              <w:bottom w:type="dxa" w:w="60"/>
              <w:right w:type="dxa" w:w="120"/>
            </w:tcMar>
          </w:tcPr>
          <w:p>
            <w:r>
              <w:rPr>
                <w:rFonts w:ascii="Calibri" w:eastAsia="Microsoft YaHei"/>
                <w:color w:val="1A2B40"/>
                <w:sz w:val="21"/>
                <w:szCs w:val="21"/>
              </w:rPr>
              <w:t xml:space="preserve">models/hmm_model.py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Gaussian HMM with EM estimation, 9+10 features, auto-interpretation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Strategy Factory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strategies/strategy_factory.py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7 strategy types + auto-generated + recommendation engine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Regime Strategies</w:t>
            </w:r>
          </w:p>
        </w:tc>
        <w:tc>
          <w:tcPr>
            <w:shd w:fill="F5F2E8" w:val="clear"/>
            <w:tcMar>
              <w:top w:type="dxa" w:w="60"/>
              <w:left w:type="dxa" w:w="120"/>
              <w:bottom w:type="dxa" w:w="60"/>
              <w:right w:type="dxa" w:w="120"/>
            </w:tcMar>
          </w:tcPr>
          <w:p>
            <w:r>
              <w:rPr>
                <w:rFonts w:ascii="Calibri" w:eastAsia="Microsoft YaHei"/>
                <w:color w:val="1A2B40"/>
                <w:sz w:val="21"/>
                <w:szCs w:val="21"/>
              </w:rPr>
              <w:t xml:space="preserve">strategies/regime_strategies.py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Momentum, Mean Reversion, Adaptive Volatility implementations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Advanced Strategies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strategies/advanced_regime_strategies.py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Contrarian, Trend Following implementations</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TDA Strategies</w:t>
            </w:r>
          </w:p>
        </w:tc>
        <w:tc>
          <w:tcPr>
            <w:shd w:fill="F5F2E8" w:val="clear"/>
            <w:tcMar>
              <w:top w:type="dxa" w:w="60"/>
              <w:left w:type="dxa" w:w="120"/>
              <w:bottom w:type="dxa" w:w="60"/>
              <w:right w:type="dxa" w:w="120"/>
            </w:tcMar>
          </w:tcPr>
          <w:p>
            <w:r>
              <w:rPr>
                <w:rFonts w:ascii="Calibri" w:eastAsia="Microsoft YaHei"/>
                <w:color w:val="1A2B40"/>
                <w:sz w:val="21"/>
                <w:szCs w:val="21"/>
              </w:rPr>
              <w:t xml:space="preserve">strategies/tda_enhanced_strategies.py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Topology-enhanced momentum and contrarian strategies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Auto Strategy Generator</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strategies/auto_strategy_generator.py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Genetic programming for automated strategy evolution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Backtest Engine</w:t>
            </w:r>
          </w:p>
        </w:tc>
        <w:tc>
          <w:tcPr>
            <w:shd w:fill="F5F2E8" w:val="clear"/>
            <w:tcMar>
              <w:top w:type="dxa" w:w="60"/>
              <w:left w:type="dxa" w:w="120"/>
              <w:bottom w:type="dxa" w:w="60"/>
              <w:right w:type="dxa" w:w="120"/>
            </w:tcMar>
          </w:tcPr>
          <w:p>
            <w:r>
              <w:rPr>
                <w:rFonts w:ascii="Calibri" w:eastAsia="Microsoft YaHei"/>
                <w:color w:val="1A2B40"/>
                <w:sz w:val="21"/>
                <w:szCs w:val="21"/>
              </w:rPr>
              <w:t xml:space="preserve">backtesting/backtest_engine.py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Realistic backtesting with slippage and transaction costs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Walk-Forward Analyzer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backtesting/walk_forward_analyzer.py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Rolling out-of-sample validation with Optuna optimization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Risk Engine</w:t>
            </w:r>
          </w:p>
        </w:tc>
        <w:tc>
          <w:tcPr>
            <w:shd w:fill="F5F2E8" w:val="clear"/>
            <w:tcMar>
              <w:top w:type="dxa" w:w="60"/>
              <w:left w:type="dxa" w:w="120"/>
              <w:bottom w:type="dxa" w:w="60"/>
              <w:right w:type="dxa" w:w="120"/>
            </w:tcMar>
          </w:tcPr>
          <w:p>
            <w:r>
              <w:rPr>
                <w:rFonts w:ascii="Calibri" w:eastAsia="Microsoft YaHei"/>
                <w:color w:val="1A2B40"/>
                <w:sz w:val="21"/>
                <w:szCs w:val="21"/>
              </w:rPr>
              <w:t xml:space="preserve">risk/risk_engine.py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VaR, CVaR, stress testing, rolling metrics, portfolio decomposition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Trade Diagnostics</w:t>
            </w:r>
          </w:p>
        </w:tc>
        <w:tc>
          <w:tcPr>
            <w:shd w:fill="FFFFFF" w:val="clear"/>
            <w:tcMar>
              <w:top w:type="dxa" w:w="60"/>
              <w:left w:type="dxa" w:w="120"/>
              <w:bottom w:type="dxa" w:w="60"/>
              <w:right w:type="dxa" w:w="120"/>
            </w:tcMar>
          </w:tcPr>
          <w:p>
            <w:r>
              <w:rPr>
                <w:rFonts w:ascii="Calibri" w:eastAsia="Microsoft YaHei"/>
                <w:color w:val="1A2B40"/>
                <w:sz w:val="21"/>
                <w:szCs w:val="21"/>
              </w:rPr>
              <w:t xml:space="preserve">risk/trade_diagnostics.py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Trade-level analytics, clustering, and explainability</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TDA Analysis</w:t>
            </w:r>
          </w:p>
        </w:tc>
        <w:tc>
          <w:tcPr>
            <w:shd w:fill="F5F2E8" w:val="clear"/>
            <w:tcMar>
              <w:top w:type="dxa" w:w="60"/>
              <w:left w:type="dxa" w:w="120"/>
              <w:bottom w:type="dxa" w:w="60"/>
              <w:right w:type="dxa" w:w="120"/>
            </w:tcMar>
          </w:tcPr>
          <w:p>
            <w:r>
              <w:rPr>
                <w:rFonts w:ascii="Calibri" w:eastAsia="Microsoft YaHei"/>
                <w:color w:val="1A2B40"/>
                <w:sz w:val="21"/>
                <w:szCs w:val="21"/>
              </w:rPr>
              <w:t xml:space="preserve">tda/tda_analysis.py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Persistent homology, Betti numbers, anomaly detection UI</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Topological Features</w:t>
            </w:r>
          </w:p>
        </w:tc>
        <w:tc>
          <w:tcPr>
            <w:shd w:fill="FFFFFF" w:val="clear"/>
            <w:tcMar>
              <w:top w:type="dxa" w:w="60"/>
              <w:left w:type="dxa" w:w="120"/>
              <w:bottom w:type="dxa" w:w="60"/>
              <w:right w:type="dxa" w:w="120"/>
            </w:tcMar>
          </w:tcPr>
          <w:p>
            <w:r>
              <w:rPr>
                <w:rFonts w:ascii="Calibri" w:eastAsia="Microsoft YaHei"/>
                <w:color w:val="1A2B40"/>
                <w:sz w:val="21"/>
                <w:szCs w:val="21"/>
              </w:rPr>
              <w:t xml:space="preserve">tda/topological_features.py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Feature extraction with Ripser, sliding window computation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Data Loader</w:t>
            </w:r>
          </w:p>
        </w:tc>
        <w:tc>
          <w:tcPr>
            <w:shd w:fill="F5F2E8" w:val="clear"/>
            <w:tcMar>
              <w:top w:type="dxa" w:w="60"/>
              <w:left w:type="dxa" w:w="120"/>
              <w:bottom w:type="dxa" w:w="60"/>
              <w:right w:type="dxa" w:w="120"/>
            </w:tcMar>
          </w:tcPr>
          <w:p>
            <w:r>
              <w:rPr>
                <w:rFonts w:ascii="Calibri" w:eastAsia="Microsoft YaHei"/>
                <w:color w:val="1A2B40"/>
                <w:sz w:val="21"/>
                <w:szCs w:val="21"/>
              </w:rPr>
              <w:t xml:space="preserve">utils/data_loader.py</w:t>
            </w:r>
          </w:p>
        </w:tc>
        <w:tc>
          <w:tcPr>
            <w:shd w:fill="F5F2E8" w:val="clear"/>
            <w:tcMar>
              <w:top w:type="dxa" w:w="60"/>
              <w:left w:type="dxa" w:w="120"/>
              <w:bottom w:type="dxa" w:w="60"/>
              <w:right w:type="dxa" w:w="120"/>
            </w:tcMar>
          </w:tcPr>
          <w:p>
            <w:r>
              <w:rPr>
                <w:rFonts w:ascii="Calibri" w:eastAsia="Microsoft YaHei"/>
                <w:color w:val="1A2B40"/>
                <w:sz w:val="21"/>
                <w:szCs w:val="21"/>
              </w:rPr>
              <w:t xml:space="preserve">CSV/Parquet ingestion with OHLCV validation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Plotly Visualizer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utils/plotting.py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Interactive charts for Streamlit interface</w:t>
            </w:r>
          </w:p>
        </w:tc>
      </w:tr>
    </w:tbl>
    <w:p>
      <w:pPr>
        <w:spacing w:after="80" w:line="312"/>
        <w:jc w:val="both"/>
      </w:pPr>
      <w:r>
        <w:rPr>
          <w:rFonts w:ascii="Calibri" w:eastAsia="Microsoft YaHei"/>
          <w:color w:val="1A2B40"/>
          <w:sz w:val="24"/>
          <w:szCs w:val="24"/>
        </w:rPr>
        <w:t xml:space="preserve">The original Streamlit interface in app.py provides a standalone interactive application for direct model exploration. The FastAPI layer wraps the same underlying model classes, ensuring consistency between the interactive research environment and the production API.</w:t>
      </w:r>
    </w:p>
    <w:p>
      <w:pPr>
        <w:pStyle w:val="Heading1"/>
        <w:spacing w:after="160" w:before="360"/>
      </w:pPr>
      <w:r>
        <w:rPr>
          <w:rFonts w:ascii="Times New Roman" w:eastAsia="SimHei"/>
          <w:b/>
          <w:bCs/>
          <w:color w:val="0F2027"/>
          <w:sz w:val="32"/>
          <w:szCs w:val="32"/>
        </w:rPr>
        <w:t xml:space="preserve">Technology Stack</w:t>
      </w:r>
    </w:p>
    <w:p>
      <w:pPr>
        <w:pBdr>
          <w:bottom w:val="single" w:color="D4AF37" w:sz="6" w:space="8"/>
        </w:pBdr>
        <w:spacing w:after="200" w:before="120"/>
        <w:ind w:left="0" w:right="0"/>
      </w:pPr>
    </w:p>
    <w:tbl>
      <w:tblPr>
        <w:tblW w:type="pct" w:w="100%"/>
        <w:tblBorders>
          <w:top w:val="single" w:color="C9A84C" w:sz="2"/>
          <w:left w:val="none"/>
          <w:bottom w:val="single" w:color="C9A84C" w:sz="2"/>
          <w:right w:val="none"/>
          <w:insideH w:val="single" w:color="DDD5C0" w:sz="1"/>
          <w:insideV w:val="none"/>
        </w:tblBorders>
      </w:tblPr>
      <w:tblGrid>
        <w:gridCol w:w="100"/>
        <w:gridCol w:w="100"/>
        <w:gridCol w:w="100"/>
        <w:gridCol w:w="100"/>
      </w:tblGrid>
      <w:tr>
        <w:trPr>
          <w:cantSplit/>
          <w:tblHeader/>
        </w:trPr>
        <w:tc>
          <w:tcPr>
            <w:shd w:fill="C9A84C" w:val="clear"/>
            <w:tcMar>
              <w:top w:type="dxa" w:w="60"/>
              <w:left w:type="dxa" w:w="120"/>
              <w:bottom w:type="dxa" w:w="60"/>
              <w:right w:type="dxa" w:w="120"/>
            </w:tcMar>
          </w:tcPr>
          <w:p>
            <w:r>
              <w:rPr>
                <w:rFonts w:ascii="Calibri" w:eastAsia="SimHei"/>
                <w:b/>
                <w:bCs/>
                <w:color w:val="1A1A1A"/>
                <w:sz w:val="21"/>
                <w:szCs w:val="21"/>
              </w:rPr>
              <w:t xml:space="preserve">Component</w:t>
            </w:r>
          </w:p>
        </w:tc>
        <w:tc>
          <w:tcPr>
            <w:shd w:fill="C9A84C" w:val="clear"/>
            <w:tcMar>
              <w:top w:type="dxa" w:w="60"/>
              <w:left w:type="dxa" w:w="120"/>
              <w:bottom w:type="dxa" w:w="60"/>
              <w:right w:type="dxa" w:w="120"/>
            </w:tcMar>
          </w:tcPr>
          <w:p>
            <w:r>
              <w:rPr>
                <w:rFonts w:ascii="Calibri" w:eastAsia="SimHei"/>
                <w:b/>
                <w:bCs/>
                <w:color w:val="1A1A1A"/>
                <w:sz w:val="21"/>
                <w:szCs w:val="21"/>
              </w:rPr>
              <w:t xml:space="preserve">Technology</w:t>
            </w:r>
          </w:p>
        </w:tc>
        <w:tc>
          <w:tcPr>
            <w:shd w:fill="C9A84C" w:val="clear"/>
            <w:tcMar>
              <w:top w:type="dxa" w:w="60"/>
              <w:left w:type="dxa" w:w="120"/>
              <w:bottom w:type="dxa" w:w="60"/>
              <w:right w:type="dxa" w:w="120"/>
            </w:tcMar>
          </w:tcPr>
          <w:p>
            <w:r>
              <w:rPr>
                <w:rFonts w:ascii="Calibri" w:eastAsia="SimHei"/>
                <w:b/>
                <w:bCs/>
                <w:color w:val="1A1A1A"/>
                <w:sz w:val="21"/>
                <w:szCs w:val="21"/>
              </w:rPr>
              <w:t xml:space="preserve">Version</w:t>
            </w:r>
          </w:p>
        </w:tc>
        <w:tc>
          <w:tcPr>
            <w:shd w:fill="C9A84C" w:val="clear"/>
            <w:tcMar>
              <w:top w:type="dxa" w:w="60"/>
              <w:left w:type="dxa" w:w="120"/>
              <w:bottom w:type="dxa" w:w="60"/>
              <w:right w:type="dxa" w:w="120"/>
            </w:tcMar>
          </w:tcPr>
          <w:p>
            <w:r>
              <w:rPr>
                <w:rFonts w:ascii="Calibri" w:eastAsia="SimHei"/>
                <w:b/>
                <w:bCs/>
                <w:color w:val="1A1A1A"/>
                <w:sz w:val="21"/>
                <w:szCs w:val="21"/>
              </w:rPr>
              <w:t xml:space="preserve">Purpose</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Runtime</w:t>
            </w:r>
          </w:p>
        </w:tc>
        <w:tc>
          <w:tcPr>
            <w:shd w:fill="F5F2E8" w:val="clear"/>
            <w:tcMar>
              <w:top w:type="dxa" w:w="60"/>
              <w:left w:type="dxa" w:w="120"/>
              <w:bottom w:type="dxa" w:w="60"/>
              <w:right w:type="dxa" w:w="120"/>
            </w:tcMar>
          </w:tcPr>
          <w:p>
            <w:r>
              <w:rPr>
                <w:rFonts w:ascii="Calibri" w:eastAsia="Microsoft YaHei"/>
                <w:color w:val="1A2B40"/>
                <w:sz w:val="21"/>
                <w:szCs w:val="21"/>
              </w:rPr>
              <w:t xml:space="preserve">Python</w:t>
            </w:r>
          </w:p>
        </w:tc>
        <w:tc>
          <w:tcPr>
            <w:shd w:fill="F5F2E8" w:val="clear"/>
            <w:tcMar>
              <w:top w:type="dxa" w:w="60"/>
              <w:left w:type="dxa" w:w="120"/>
              <w:bottom w:type="dxa" w:w="60"/>
              <w:right w:type="dxa" w:w="120"/>
            </w:tcMar>
          </w:tcPr>
          <w:p>
            <w:r>
              <w:rPr>
                <w:rFonts w:ascii="Calibri" w:eastAsia="Microsoft YaHei"/>
                <w:color w:val="1A2B40"/>
                <w:sz w:val="21"/>
                <w:szCs w:val="21"/>
              </w:rPr>
              <w:t xml:space="preserve">3.11+</w:t>
            </w:r>
          </w:p>
        </w:tc>
        <w:tc>
          <w:tcPr>
            <w:shd w:fill="F5F2E8" w:val="clear"/>
            <w:tcMar>
              <w:top w:type="dxa" w:w="60"/>
              <w:left w:type="dxa" w:w="120"/>
              <w:bottom w:type="dxa" w:w="60"/>
              <w:right w:type="dxa" w:w="120"/>
            </w:tcMar>
          </w:tcPr>
          <w:p>
            <w:r>
              <w:rPr>
                <w:rFonts w:ascii="Calibri" w:eastAsia="Microsoft YaHei"/>
                <w:color w:val="1A2B40"/>
                <w:sz w:val="21"/>
                <w:szCs w:val="21"/>
              </w:rPr>
              <w:t xml:space="preserve">Core language for quantitative computing</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API Framework</w:t>
            </w:r>
          </w:p>
        </w:tc>
        <w:tc>
          <w:tcPr>
            <w:shd w:fill="FFFFFF" w:val="clear"/>
            <w:tcMar>
              <w:top w:type="dxa" w:w="60"/>
              <w:left w:type="dxa" w:w="120"/>
              <w:bottom w:type="dxa" w:w="60"/>
              <w:right w:type="dxa" w:w="120"/>
            </w:tcMar>
          </w:tcPr>
          <w:p>
            <w:r>
              <w:rPr>
                <w:rFonts w:ascii="Calibri" w:eastAsia="Microsoft YaHei"/>
                <w:color w:val="1A2B40"/>
                <w:sz w:val="21"/>
                <w:szCs w:val="21"/>
              </w:rPr>
              <w:t xml:space="preserve">FastAPI</w:t>
            </w:r>
          </w:p>
        </w:tc>
        <w:tc>
          <w:tcPr>
            <w:shd w:fill="FFFFFF" w:val="clear"/>
            <w:tcMar>
              <w:top w:type="dxa" w:w="60"/>
              <w:left w:type="dxa" w:w="120"/>
              <w:bottom w:type="dxa" w:w="60"/>
              <w:right w:type="dxa" w:w="120"/>
            </w:tcMar>
          </w:tcPr>
          <w:p>
            <w:r>
              <w:rPr>
                <w:rFonts w:ascii="Calibri" w:eastAsia="Microsoft YaHei"/>
                <w:color w:val="1A2B40"/>
                <w:sz w:val="21"/>
                <w:szCs w:val="21"/>
              </w:rPr>
              <w:t xml:space="preserve">Latest</w:t>
            </w:r>
          </w:p>
        </w:tc>
        <w:tc>
          <w:tcPr>
            <w:shd w:fill="FFFFFF" w:val="clear"/>
            <w:tcMar>
              <w:top w:type="dxa" w:w="60"/>
              <w:left w:type="dxa" w:w="120"/>
              <w:bottom w:type="dxa" w:w="60"/>
              <w:right w:type="dxa" w:w="120"/>
            </w:tcMar>
          </w:tcPr>
          <w:p>
            <w:r>
              <w:rPr>
                <w:rFonts w:ascii="Calibri" w:eastAsia="Microsoft YaHei"/>
                <w:color w:val="1A2B40"/>
                <w:sz w:val="21"/>
                <w:szCs w:val="21"/>
              </w:rPr>
              <w:t xml:space="preserve">Async REST API with Pydantic validation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HMM Library</w:t>
            </w:r>
          </w:p>
        </w:tc>
        <w:tc>
          <w:tcPr>
            <w:shd w:fill="F5F2E8" w:val="clear"/>
            <w:tcMar>
              <w:top w:type="dxa" w:w="60"/>
              <w:left w:type="dxa" w:w="120"/>
              <w:bottom w:type="dxa" w:w="60"/>
              <w:right w:type="dxa" w:w="120"/>
            </w:tcMar>
          </w:tcPr>
          <w:p>
            <w:r>
              <w:rPr>
                <w:rFonts w:ascii="Calibri" w:eastAsia="Microsoft YaHei"/>
                <w:color w:val="1A2B40"/>
                <w:sz w:val="21"/>
                <w:szCs w:val="21"/>
              </w:rPr>
              <w:t xml:space="preserve">hmmlearn</w:t>
            </w:r>
          </w:p>
        </w:tc>
        <w:tc>
          <w:tcPr>
            <w:shd w:fill="F5F2E8" w:val="clear"/>
            <w:tcMar>
              <w:top w:type="dxa" w:w="60"/>
              <w:left w:type="dxa" w:w="120"/>
              <w:bottom w:type="dxa" w:w="60"/>
              <w:right w:type="dxa" w:w="120"/>
            </w:tcMar>
          </w:tcPr>
          <w:p>
            <w:r>
              <w:rPr>
                <w:rFonts w:ascii="Calibri" w:eastAsia="Microsoft YaHei"/>
                <w:color w:val="1A2B40"/>
                <w:sz w:val="21"/>
                <w:szCs w:val="21"/>
              </w:rPr>
              <w:t xml:space="preserve">0.3.3+</w:t>
            </w:r>
          </w:p>
        </w:tc>
        <w:tc>
          <w:tcPr>
            <w:shd w:fill="F5F2E8" w:val="clear"/>
            <w:tcMar>
              <w:top w:type="dxa" w:w="60"/>
              <w:left w:type="dxa" w:w="120"/>
              <w:bottom w:type="dxa" w:w="60"/>
              <w:right w:type="dxa" w:w="120"/>
            </w:tcMar>
          </w:tcPr>
          <w:p>
            <w:r>
              <w:rPr>
                <w:rFonts w:ascii="Calibri" w:eastAsia="Microsoft YaHei"/>
                <w:color w:val="1A2B40"/>
                <w:sz w:val="21"/>
                <w:szCs w:val="21"/>
              </w:rPr>
              <w:t xml:space="preserve">Gaussian HMM implementation with EM algorithm</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TDA Library</w:t>
            </w:r>
          </w:p>
        </w:tc>
        <w:tc>
          <w:tcPr>
            <w:shd w:fill="FFFFFF" w:val="clear"/>
            <w:tcMar>
              <w:top w:type="dxa" w:w="60"/>
              <w:left w:type="dxa" w:w="120"/>
              <w:bottom w:type="dxa" w:w="60"/>
              <w:right w:type="dxa" w:w="120"/>
            </w:tcMar>
          </w:tcPr>
          <w:p>
            <w:r>
              <w:rPr>
                <w:rFonts w:ascii="Calibri" w:eastAsia="Microsoft YaHei"/>
                <w:color w:val="1A2B40"/>
                <w:sz w:val="21"/>
                <w:szCs w:val="21"/>
              </w:rPr>
              <w:t xml:space="preserve">Ripser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0.6.12+</w:t>
            </w:r>
          </w:p>
        </w:tc>
        <w:tc>
          <w:tcPr>
            <w:shd w:fill="FFFFFF" w:val="clear"/>
            <w:tcMar>
              <w:top w:type="dxa" w:w="60"/>
              <w:left w:type="dxa" w:w="120"/>
              <w:bottom w:type="dxa" w:w="60"/>
              <w:right w:type="dxa" w:w="120"/>
            </w:tcMar>
          </w:tcPr>
          <w:p>
            <w:r>
              <w:rPr>
                <w:rFonts w:ascii="Calibri" w:eastAsia="Microsoft YaHei"/>
                <w:color w:val="1A2B40"/>
                <w:sz w:val="21"/>
                <w:szCs w:val="21"/>
              </w:rPr>
              <w:t xml:space="preserve">Fast persistent homology computation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TDA Library</w:t>
            </w:r>
          </w:p>
        </w:tc>
        <w:tc>
          <w:tcPr>
            <w:shd w:fill="F5F2E8" w:val="clear"/>
            <w:tcMar>
              <w:top w:type="dxa" w:w="60"/>
              <w:left w:type="dxa" w:w="120"/>
              <w:bottom w:type="dxa" w:w="60"/>
              <w:right w:type="dxa" w:w="120"/>
            </w:tcMar>
          </w:tcPr>
          <w:p>
            <w:r>
              <w:rPr>
                <w:rFonts w:ascii="Calibri" w:eastAsia="Microsoft YaHei"/>
                <w:color w:val="1A2B40"/>
                <w:sz w:val="21"/>
                <w:szCs w:val="21"/>
              </w:rPr>
              <w:t xml:space="preserve">GUDHI / scikit-tda</w:t>
            </w:r>
          </w:p>
        </w:tc>
        <w:tc>
          <w:tcPr>
            <w:shd w:fill="F5F2E8" w:val="clear"/>
            <w:tcMar>
              <w:top w:type="dxa" w:w="60"/>
              <w:left w:type="dxa" w:w="120"/>
              <w:bottom w:type="dxa" w:w="60"/>
              <w:right w:type="dxa" w:w="120"/>
            </w:tcMar>
          </w:tcPr>
          <w:p>
            <w:r>
              <w:rPr>
                <w:rFonts w:ascii="Calibri" w:eastAsia="Microsoft YaHei"/>
                <w:color w:val="1A2B40"/>
                <w:sz w:val="21"/>
                <w:szCs w:val="21"/>
              </w:rPr>
              <w:t xml:space="preserve">1.1.1+</w:t>
            </w:r>
          </w:p>
        </w:tc>
        <w:tc>
          <w:tcPr>
            <w:shd w:fill="F5F2E8" w:val="clear"/>
            <w:tcMar>
              <w:top w:type="dxa" w:w="60"/>
              <w:left w:type="dxa" w:w="120"/>
              <w:bottom w:type="dxa" w:w="60"/>
              <w:right w:type="dxa" w:w="120"/>
            </w:tcMar>
          </w:tcPr>
          <w:p>
            <w:r>
              <w:rPr>
                <w:rFonts w:ascii="Calibri" w:eastAsia="Microsoft YaHei"/>
                <w:color w:val="1A2B40"/>
                <w:sz w:val="21"/>
                <w:szCs w:val="21"/>
              </w:rPr>
              <w:t xml:space="preserve">Topological data analysis toolkit</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TDA Visualization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Persim</w:t>
            </w:r>
          </w:p>
        </w:tc>
        <w:tc>
          <w:tcPr>
            <w:shd w:fill="FFFFFF" w:val="clear"/>
            <w:tcMar>
              <w:top w:type="dxa" w:w="60"/>
              <w:left w:type="dxa" w:w="120"/>
              <w:bottom w:type="dxa" w:w="60"/>
              <w:right w:type="dxa" w:w="120"/>
            </w:tcMar>
          </w:tcPr>
          <w:p>
            <w:r>
              <w:rPr>
                <w:rFonts w:ascii="Calibri" w:eastAsia="Microsoft YaHei"/>
                <w:color w:val="1A2B40"/>
                <w:sz w:val="21"/>
                <w:szCs w:val="21"/>
              </w:rPr>
              <w:t xml:space="preserve">0.3.8+</w:t>
            </w:r>
          </w:p>
        </w:tc>
        <w:tc>
          <w:tcPr>
            <w:shd w:fill="FFFFFF" w:val="clear"/>
            <w:tcMar>
              <w:top w:type="dxa" w:w="60"/>
              <w:left w:type="dxa" w:w="120"/>
              <w:bottom w:type="dxa" w:w="60"/>
              <w:right w:type="dxa" w:w="120"/>
            </w:tcMar>
          </w:tcPr>
          <w:p>
            <w:r>
              <w:rPr>
                <w:rFonts w:ascii="Calibri" w:eastAsia="Microsoft YaHei"/>
                <w:color w:val="1A2B40"/>
                <w:sz w:val="21"/>
                <w:szCs w:val="21"/>
              </w:rPr>
              <w:t xml:space="preserve">Persistence diagram visualization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Data Processing</w:t>
            </w:r>
          </w:p>
        </w:tc>
        <w:tc>
          <w:tcPr>
            <w:shd w:fill="F5F2E8" w:val="clear"/>
            <w:tcMar>
              <w:top w:type="dxa" w:w="60"/>
              <w:left w:type="dxa" w:w="120"/>
              <w:bottom w:type="dxa" w:w="60"/>
              <w:right w:type="dxa" w:w="120"/>
            </w:tcMar>
          </w:tcPr>
          <w:p>
            <w:r>
              <w:rPr>
                <w:rFonts w:ascii="Calibri" w:eastAsia="Microsoft YaHei"/>
                <w:color w:val="1A2B40"/>
                <w:sz w:val="21"/>
                <w:szCs w:val="21"/>
              </w:rPr>
              <w:t xml:space="preserve">Pandas</w:t>
            </w:r>
          </w:p>
        </w:tc>
        <w:tc>
          <w:tcPr>
            <w:shd w:fill="F5F2E8" w:val="clear"/>
            <w:tcMar>
              <w:top w:type="dxa" w:w="60"/>
              <w:left w:type="dxa" w:w="120"/>
              <w:bottom w:type="dxa" w:w="60"/>
              <w:right w:type="dxa" w:w="120"/>
            </w:tcMar>
          </w:tcPr>
          <w:p>
            <w:r>
              <w:rPr>
                <w:rFonts w:ascii="Calibri" w:eastAsia="Microsoft YaHei"/>
                <w:color w:val="1A2B40"/>
                <w:sz w:val="21"/>
                <w:szCs w:val="21"/>
              </w:rPr>
              <w:t xml:space="preserve">2.2.3+</w:t>
            </w:r>
          </w:p>
        </w:tc>
        <w:tc>
          <w:tcPr>
            <w:shd w:fill="F5F2E8" w:val="clear"/>
            <w:tcMar>
              <w:top w:type="dxa" w:w="60"/>
              <w:left w:type="dxa" w:w="120"/>
              <w:bottom w:type="dxa" w:w="60"/>
              <w:right w:type="dxa" w:w="120"/>
            </w:tcMar>
          </w:tcPr>
          <w:p>
            <w:r>
              <w:rPr>
                <w:rFonts w:ascii="Calibri" w:eastAsia="Microsoft YaHei"/>
                <w:color w:val="1A2B40"/>
                <w:sz w:val="21"/>
                <w:szCs w:val="21"/>
              </w:rPr>
              <w:t xml:space="preserve">Time-series data manipulation</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Numerical Computing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NumPy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2.2.6+</w:t>
            </w:r>
          </w:p>
        </w:tc>
        <w:tc>
          <w:tcPr>
            <w:shd w:fill="FFFFFF" w:val="clear"/>
            <w:tcMar>
              <w:top w:type="dxa" w:w="60"/>
              <w:left w:type="dxa" w:w="120"/>
              <w:bottom w:type="dxa" w:w="60"/>
              <w:right w:type="dxa" w:w="120"/>
            </w:tcMar>
          </w:tcPr>
          <w:p>
            <w:r>
              <w:rPr>
                <w:rFonts w:ascii="Calibri" w:eastAsia="Microsoft YaHei"/>
                <w:color w:val="1A2B40"/>
                <w:sz w:val="21"/>
                <w:szCs w:val="21"/>
              </w:rPr>
              <w:t xml:space="preserve">Vectorized mathematical operations</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Machine Learning</w:t>
            </w:r>
          </w:p>
        </w:tc>
        <w:tc>
          <w:tcPr>
            <w:shd w:fill="F5F2E8" w:val="clear"/>
            <w:tcMar>
              <w:top w:type="dxa" w:w="60"/>
              <w:left w:type="dxa" w:w="120"/>
              <w:bottom w:type="dxa" w:w="60"/>
              <w:right w:type="dxa" w:w="120"/>
            </w:tcMar>
          </w:tcPr>
          <w:p>
            <w:r>
              <w:rPr>
                <w:rFonts w:ascii="Calibri" w:eastAsia="Microsoft YaHei"/>
                <w:color w:val="1A2B40"/>
                <w:sz w:val="21"/>
                <w:szCs w:val="21"/>
              </w:rPr>
              <w:t xml:space="preserve">scikit-learn</w:t>
            </w:r>
          </w:p>
        </w:tc>
        <w:tc>
          <w:tcPr>
            <w:shd w:fill="F5F2E8" w:val="clear"/>
            <w:tcMar>
              <w:top w:type="dxa" w:w="60"/>
              <w:left w:type="dxa" w:w="120"/>
              <w:bottom w:type="dxa" w:w="60"/>
              <w:right w:type="dxa" w:w="120"/>
            </w:tcMar>
          </w:tcPr>
          <w:p>
            <w:r>
              <w:rPr>
                <w:rFonts w:ascii="Calibri" w:eastAsia="Microsoft YaHei"/>
                <w:color w:val="1A2B40"/>
                <w:sz w:val="21"/>
                <w:szCs w:val="21"/>
              </w:rPr>
              <w:t xml:space="preserve">1.6.1+</w:t>
            </w:r>
          </w:p>
        </w:tc>
        <w:tc>
          <w:tcPr>
            <w:shd w:fill="F5F2E8" w:val="clear"/>
            <w:tcMar>
              <w:top w:type="dxa" w:w="60"/>
              <w:left w:type="dxa" w:w="120"/>
              <w:bottom w:type="dxa" w:w="60"/>
              <w:right w:type="dxa" w:w="120"/>
            </w:tcMar>
          </w:tcPr>
          <w:p>
            <w:r>
              <w:rPr>
                <w:rFonts w:ascii="Calibri" w:eastAsia="Microsoft YaHei"/>
                <w:color w:val="1A2B40"/>
                <w:sz w:val="21"/>
                <w:szCs w:val="21"/>
              </w:rPr>
              <w:t xml:space="preserve">StandardScaler, model evaluation utilities</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Scientific Computing</w:t>
            </w:r>
          </w:p>
        </w:tc>
        <w:tc>
          <w:tcPr>
            <w:shd w:fill="FFFFFF" w:val="clear"/>
            <w:tcMar>
              <w:top w:type="dxa" w:w="60"/>
              <w:left w:type="dxa" w:w="120"/>
              <w:bottom w:type="dxa" w:w="60"/>
              <w:right w:type="dxa" w:w="120"/>
            </w:tcMar>
          </w:tcPr>
          <w:p>
            <w:r>
              <w:rPr>
                <w:rFonts w:ascii="Calibri" w:eastAsia="Microsoft YaHei"/>
                <w:color w:val="1A2B40"/>
                <w:sz w:val="21"/>
                <w:szCs w:val="21"/>
              </w:rPr>
              <w:t xml:space="preserve">SciPy</w:t>
            </w:r>
          </w:p>
        </w:tc>
        <w:tc>
          <w:tcPr>
            <w:shd w:fill="FFFFFF" w:val="clear"/>
            <w:tcMar>
              <w:top w:type="dxa" w:w="60"/>
              <w:left w:type="dxa" w:w="120"/>
              <w:bottom w:type="dxa" w:w="60"/>
              <w:right w:type="dxa" w:w="120"/>
            </w:tcMar>
          </w:tcPr>
          <w:p>
            <w:r>
              <w:rPr>
                <w:rFonts w:ascii="Calibri" w:eastAsia="Microsoft YaHei"/>
                <w:color w:val="1A2B40"/>
                <w:sz w:val="21"/>
                <w:szCs w:val="21"/>
              </w:rPr>
              <w:t xml:space="preserve">1.15.3+</w:t>
            </w:r>
          </w:p>
        </w:tc>
        <w:tc>
          <w:tcPr>
            <w:shd w:fill="FFFFFF" w:val="clear"/>
            <w:tcMar>
              <w:top w:type="dxa" w:w="60"/>
              <w:left w:type="dxa" w:w="120"/>
              <w:bottom w:type="dxa" w:w="60"/>
              <w:right w:type="dxa" w:w="120"/>
            </w:tcMar>
          </w:tcPr>
          <w:p>
            <w:r>
              <w:rPr>
                <w:rFonts w:ascii="Calibri" w:eastAsia="Microsoft YaHei"/>
                <w:color w:val="1A2B40"/>
                <w:sz w:val="21"/>
                <w:szCs w:val="21"/>
              </w:rPr>
              <w:t xml:space="preserve">Statistical functions, optimization</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Optimization</w:t>
            </w:r>
          </w:p>
        </w:tc>
        <w:tc>
          <w:tcPr>
            <w:shd w:fill="F5F2E8" w:val="clear"/>
            <w:tcMar>
              <w:top w:type="dxa" w:w="60"/>
              <w:left w:type="dxa" w:w="120"/>
              <w:bottom w:type="dxa" w:w="60"/>
              <w:right w:type="dxa" w:w="120"/>
            </w:tcMar>
          </w:tcPr>
          <w:p>
            <w:r>
              <w:rPr>
                <w:rFonts w:ascii="Calibri" w:eastAsia="Microsoft YaHei"/>
                <w:color w:val="1A2B40"/>
                <w:sz w:val="21"/>
                <w:szCs w:val="21"/>
              </w:rPr>
              <w:t xml:space="preserve">Optuna</w:t>
            </w:r>
          </w:p>
        </w:tc>
        <w:tc>
          <w:tcPr>
            <w:shd w:fill="F5F2E8" w:val="clear"/>
            <w:tcMar>
              <w:top w:type="dxa" w:w="60"/>
              <w:left w:type="dxa" w:w="120"/>
              <w:bottom w:type="dxa" w:w="60"/>
              <w:right w:type="dxa" w:w="120"/>
            </w:tcMar>
          </w:tcPr>
          <w:p>
            <w:r>
              <w:rPr>
                <w:rFonts w:ascii="Calibri" w:eastAsia="Microsoft YaHei"/>
                <w:color w:val="1A2B40"/>
                <w:sz w:val="21"/>
                <w:szCs w:val="21"/>
              </w:rPr>
              <w:t xml:space="preserve">Via pip</w:t>
            </w:r>
          </w:p>
        </w:tc>
        <w:tc>
          <w:tcPr>
            <w:shd w:fill="F5F2E8" w:val="clear"/>
            <w:tcMar>
              <w:top w:type="dxa" w:w="60"/>
              <w:left w:type="dxa" w:w="120"/>
              <w:bottom w:type="dxa" w:w="60"/>
              <w:right w:type="dxa" w:w="120"/>
            </w:tcMar>
          </w:tcPr>
          <w:p>
            <w:r>
              <w:rPr>
                <w:rFonts w:ascii="Calibri" w:eastAsia="Microsoft YaHei"/>
                <w:color w:val="1A2B40"/>
                <w:sz w:val="21"/>
                <w:szCs w:val="21"/>
              </w:rPr>
              <w:t xml:space="preserve">Hyperparameter optimization for walk-forward</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Visualization</w:t>
            </w:r>
          </w:p>
        </w:tc>
        <w:tc>
          <w:tcPr>
            <w:shd w:fill="FFFFFF" w:val="clear"/>
            <w:tcMar>
              <w:top w:type="dxa" w:w="60"/>
              <w:left w:type="dxa" w:w="120"/>
              <w:bottom w:type="dxa" w:w="60"/>
              <w:right w:type="dxa" w:w="120"/>
            </w:tcMar>
          </w:tcPr>
          <w:p>
            <w:r>
              <w:rPr>
                <w:rFonts w:ascii="Calibri" w:eastAsia="Microsoft YaHei"/>
                <w:color w:val="1A2B40"/>
                <w:sz w:val="21"/>
                <w:szCs w:val="21"/>
              </w:rPr>
              <w:t xml:space="preserve">Plotly</w:t>
            </w:r>
          </w:p>
        </w:tc>
        <w:tc>
          <w:tcPr>
            <w:shd w:fill="FFFFFF" w:val="clear"/>
            <w:tcMar>
              <w:top w:type="dxa" w:w="60"/>
              <w:left w:type="dxa" w:w="120"/>
              <w:bottom w:type="dxa" w:w="60"/>
              <w:right w:type="dxa" w:w="120"/>
            </w:tcMar>
          </w:tcPr>
          <w:p>
            <w:r>
              <w:rPr>
                <w:rFonts w:ascii="Calibri" w:eastAsia="Microsoft YaHei"/>
                <w:color w:val="1A2B40"/>
                <w:sz w:val="21"/>
                <w:szCs w:val="21"/>
              </w:rPr>
              <w:t xml:space="preserve">6.1.1+</w:t>
            </w:r>
          </w:p>
        </w:tc>
        <w:tc>
          <w:tcPr>
            <w:shd w:fill="FFFFFF" w:val="clear"/>
            <w:tcMar>
              <w:top w:type="dxa" w:w="60"/>
              <w:left w:type="dxa" w:w="120"/>
              <w:bottom w:type="dxa" w:w="60"/>
              <w:right w:type="dxa" w:w="120"/>
            </w:tcMar>
          </w:tcPr>
          <w:p>
            <w:r>
              <w:rPr>
                <w:rFonts w:ascii="Calibri" w:eastAsia="Microsoft YaHei"/>
                <w:color w:val="1A2B40"/>
                <w:sz w:val="21"/>
                <w:szCs w:val="21"/>
              </w:rPr>
              <w:t xml:space="preserve">Interactive financial charts</w:t>
            </w:r>
          </w:p>
        </w:tc>
      </w:tr>
      <w:tr>
        <w:trPr>
          <w:cantSplit/>
        </w:trPr>
        <w:tc>
          <w:tcPr>
            <w:shd w:fill="F5F2E8" w:val="clear"/>
            <w:tcMar>
              <w:top w:type="dxa" w:w="60"/>
              <w:left w:type="dxa" w:w="120"/>
              <w:bottom w:type="dxa" w:w="60"/>
              <w:right w:type="dxa" w:w="120"/>
            </w:tcMar>
          </w:tcPr>
          <w:p>
            <w:r>
              <w:rPr>
                <w:rFonts w:ascii="Calibri" w:eastAsia="Microsoft YaHei"/>
                <w:color w:val="1A2B40"/>
                <w:sz w:val="21"/>
                <w:szCs w:val="21"/>
              </w:rPr>
              <w:t xml:space="preserve">UI Framework</w:t>
            </w:r>
          </w:p>
        </w:tc>
        <w:tc>
          <w:tcPr>
            <w:shd w:fill="F5F2E8" w:val="clear"/>
            <w:tcMar>
              <w:top w:type="dxa" w:w="60"/>
              <w:left w:type="dxa" w:w="120"/>
              <w:bottom w:type="dxa" w:w="60"/>
              <w:right w:type="dxa" w:w="120"/>
            </w:tcMar>
          </w:tcPr>
          <w:p>
            <w:r>
              <w:rPr>
                <w:rFonts w:ascii="Calibri" w:eastAsia="Microsoft YaHei"/>
                <w:color w:val="1A2B40"/>
                <w:sz w:val="21"/>
                <w:szCs w:val="21"/>
              </w:rPr>
              <w:t xml:space="preserve">Streamlit</w:t>
            </w:r>
          </w:p>
        </w:tc>
        <w:tc>
          <w:tcPr>
            <w:shd w:fill="F5F2E8" w:val="clear"/>
            <w:tcMar>
              <w:top w:type="dxa" w:w="60"/>
              <w:left w:type="dxa" w:w="120"/>
              <w:bottom w:type="dxa" w:w="60"/>
              <w:right w:type="dxa" w:w="120"/>
            </w:tcMar>
          </w:tcPr>
          <w:p>
            <w:r>
              <w:rPr>
                <w:rFonts w:ascii="Calibri" w:eastAsia="Microsoft YaHei"/>
                <w:color w:val="1A2B40"/>
                <w:sz w:val="21"/>
                <w:szCs w:val="21"/>
              </w:rPr>
              <w:t xml:space="preserve">1.45.1+</w:t>
            </w:r>
          </w:p>
        </w:tc>
        <w:tc>
          <w:tcPr>
            <w:shd w:fill="F5F2E8" w:val="clear"/>
            <w:tcMar>
              <w:top w:type="dxa" w:w="60"/>
              <w:left w:type="dxa" w:w="120"/>
              <w:bottom w:type="dxa" w:w="60"/>
              <w:right w:type="dxa" w:w="120"/>
            </w:tcMar>
          </w:tcPr>
          <w:p>
            <w:r>
              <w:rPr>
                <w:rFonts w:ascii="Calibri" w:eastAsia="Microsoft YaHei"/>
                <w:color w:val="1A2B40"/>
                <w:sz w:val="21"/>
                <w:szCs w:val="21"/>
              </w:rPr>
              <w:t xml:space="preserve">Standalone interactive research interface</w:t>
            </w:r>
          </w:p>
        </w:tc>
      </w:tr>
      <w:tr>
        <w:trPr>
          <w:cantSplit/>
        </w:trPr>
        <w:tc>
          <w:tcPr>
            <w:shd w:fill="FFFFFF" w:val="clear"/>
            <w:tcMar>
              <w:top w:type="dxa" w:w="60"/>
              <w:left w:type="dxa" w:w="120"/>
              <w:bottom w:type="dxa" w:w="60"/>
              <w:right w:type="dxa" w:w="120"/>
            </w:tcMar>
          </w:tcPr>
          <w:p>
            <w:r>
              <w:rPr>
                <w:rFonts w:ascii="Calibri" w:eastAsia="Microsoft YaHei"/>
                <w:color w:val="1A2B40"/>
                <w:sz w:val="21"/>
                <w:szCs w:val="21"/>
              </w:rPr>
              <w:t xml:space="preserve">Deployment</w:t>
            </w:r>
          </w:p>
        </w:tc>
        <w:tc>
          <w:tcPr>
            <w:shd w:fill="FFFFFF" w:val="clear"/>
            <w:tcMar>
              <w:top w:type="dxa" w:w="60"/>
              <w:left w:type="dxa" w:w="120"/>
              <w:bottom w:type="dxa" w:w="60"/>
              <w:right w:type="dxa" w:w="120"/>
            </w:tcMar>
          </w:tcPr>
          <w:p>
            <w:r>
              <w:rPr>
                <w:rFonts w:ascii="Calibri" w:eastAsia="Microsoft YaHei"/>
                <w:color w:val="1A2B40"/>
                <w:sz w:val="21"/>
                <w:szCs w:val="21"/>
              </w:rPr>
              <w:t xml:space="preserve">Render</w:t>
            </w:r>
          </w:p>
        </w:tc>
        <w:tc>
          <w:tcPr>
            <w:shd w:fill="FFFFFF" w:val="clear"/>
            <w:tcMar>
              <w:top w:type="dxa" w:w="60"/>
              <w:left w:type="dxa" w:w="120"/>
              <w:bottom w:type="dxa" w:w="60"/>
              <w:right w:type="dxa" w:w="120"/>
            </w:tcMar>
          </w:tcPr>
          <w:p>
            <w:r>
              <w:rPr>
                <w:rFonts w:ascii="Calibri" w:eastAsia="Microsoft YaHei"/>
                <w:color w:val="1A2B40"/>
                <w:sz w:val="21"/>
                <w:szCs w:val="21"/>
              </w:rPr>
              <w:t xml:space="preserve">Free Plan</w:t>
            </w:r>
          </w:p>
        </w:tc>
        <w:tc>
          <w:tcPr>
            <w:shd w:fill="FFFFFF" w:val="clear"/>
            <w:tcMar>
              <w:top w:type="dxa" w:w="60"/>
              <w:left w:type="dxa" w:w="120"/>
              <w:bottom w:type="dxa" w:w="60"/>
              <w:right w:type="dxa" w:w="120"/>
            </w:tcMar>
          </w:tcPr>
          <w:p>
            <w:r>
              <w:rPr>
                <w:rFonts w:ascii="Calibri" w:eastAsia="Microsoft YaHei"/>
                <w:color w:val="1A2B40"/>
                <w:sz w:val="21"/>
                <w:szCs w:val="21"/>
              </w:rPr>
              <w:t xml:space="preserve">Auto-deploy from GitHub main branch</w:t>
            </w:r>
          </w:p>
        </w:tc>
      </w:tr>
    </w:tbl>
    <w:p>
      <w:pPr>
        <w:pStyle w:val="Heading1"/>
        <w:spacing w:after="160" w:before="360"/>
      </w:pPr>
      <w:r>
        <w:rPr>
          <w:rFonts w:ascii="Times New Roman" w:eastAsia="SimHei"/>
          <w:b/>
          <w:bCs/>
          <w:color w:val="0F2027"/>
          <w:sz w:val="32"/>
          <w:szCs w:val="32"/>
        </w:rPr>
        <w:t xml:space="preserve">Mathematical Foundations</w:t>
      </w:r>
    </w:p>
    <w:p>
      <w:pPr>
        <w:pBdr>
          <w:bottom w:val="single" w:color="D4AF37" w:sz="6" w:space="8"/>
        </w:pBdr>
        <w:spacing w:after="200" w:before="120"/>
        <w:ind w:left="0" w:right="0"/>
      </w:pPr>
    </w:p>
    <w:p>
      <w:pPr>
        <w:pStyle w:val="Heading2"/>
        <w:spacing w:after="120" w:before="280"/>
      </w:pPr>
      <w:r>
        <w:rPr>
          <w:rFonts w:ascii="Times New Roman" w:eastAsia="SimHei"/>
          <w:b/>
          <w:bCs/>
          <w:color w:val="0F2027"/>
          <w:sz w:val="28"/>
          <w:szCs w:val="28"/>
        </w:rPr>
        <w:t xml:space="preserve">Hidden Markov Models</w:t>
      </w:r>
    </w:p>
    <w:p>
      <w:pPr>
        <w:spacing w:after="80" w:line="312"/>
        <w:jc w:val="both"/>
      </w:pPr>
      <w:r>
        <w:rPr>
          <w:rFonts w:ascii="Calibri" w:eastAsia="Microsoft YaHei"/>
          <w:color w:val="1A2B40"/>
          <w:sz w:val="24"/>
          <w:szCs w:val="24"/>
        </w:rPr>
        <w:t xml:space="preserve">The HMM implementation models market regimes as hidden states S with observable features O. The model parameters are the transition matrix A where A[i,j] represents the probability of transitioning from state i to state j, the emission matrix B where B[i,k] represents the probability of observing feature k in state i, and the initial state distribution. Parameter estimation uses the Baum-Welch algorithm (Expectation-Maximization), where the E-step computes posterior state probabilities and the M-step updates parameters to maximize the expected complete-data log-likelihood. The model uses diagonal covariance matrices for computational efficiency and robustness against overfitting with limited data.</w:t>
      </w:r>
    </w:p>
    <w:p>
      <w:pPr>
        <w:pStyle w:val="Heading2"/>
        <w:spacing w:after="120" w:before="280"/>
      </w:pPr>
      <w:r>
        <w:rPr>
          <w:rFonts w:ascii="Times New Roman" w:eastAsia="SimHei"/>
          <w:b/>
          <w:bCs/>
          <w:color w:val="0F2027"/>
          <w:sz w:val="28"/>
          <w:szCs w:val="28"/>
        </w:rPr>
        <w:t xml:space="preserve">Persistent Homology</w:t>
      </w:r>
    </w:p>
    <w:p>
      <w:pPr>
        <w:spacing w:after="80" w:line="312"/>
        <w:jc w:val="both"/>
      </w:pPr>
      <w:r>
        <w:rPr>
          <w:rFonts w:ascii="Calibri" w:eastAsia="Microsoft YaHei"/>
          <w:color w:val="1A2B40"/>
          <w:sz w:val="24"/>
          <w:szCs w:val="24"/>
        </w:rPr>
        <w:t xml:space="preserve">The TDA module computes persistent homology by constructing a Vietoris-Rips complex from the point cloud representation of price data (using Takens embedding with configurable dimension and delay parameters). As the distance threshold increases, topological features (connected components and loops) appear and disappear. The persistence of each feature, measured as the difference between its birth and death scales, quantifies its significance. Features with high persistence represent stable structural patterns in the data, while short-lived features are likely noise. The Betti numbers track the count of topological features at each dimension, and persistence entropy measures the information content of the persistence diagram.</w:t>
      </w:r>
    </w:p>
    <w:p>
      <w:pPr>
        <w:pStyle w:val="Heading2"/>
        <w:spacing w:after="120" w:before="280"/>
      </w:pPr>
      <w:r>
        <w:rPr>
          <w:rFonts w:ascii="Times New Roman" w:eastAsia="SimHei"/>
          <w:b/>
          <w:bCs/>
          <w:color w:val="0F2027"/>
          <w:sz w:val="28"/>
          <w:szCs w:val="28"/>
        </w:rPr>
        <w:t xml:space="preserve">Kelly Criterion</w:t>
      </w:r>
    </w:p>
    <w:p>
      <w:pPr>
        <w:spacing w:after="80" w:line="312"/>
        <w:jc w:val="both"/>
      </w:pPr>
      <w:r>
        <w:rPr>
          <w:rFonts w:ascii="Calibri" w:eastAsia="Microsoft YaHei"/>
          <w:color w:val="1A2B40"/>
          <w:sz w:val="24"/>
          <w:szCs w:val="24"/>
        </w:rPr>
        <w:t xml:space="preserve">The Kelly Criterion derives the optimal fraction of capital to risk on a given trade from the formula f* = (bp - q) / b, where b is the ratio of potential win to potential loss, p is the probability of winning, and q = 1 - p is the probability of losing. In the context of continuous returns, this simplifies to f* = (mean return) / (variance of returns) for a Gaussian distribution. The engine implements the full discrete formulation for trade-based analysis and the continuous formulation for portfolio-level sizing, with progressive scaling through fractional, volatility-adjusted, and regime-gated variants.</w:t>
      </w:r>
    </w:p>
    <w:p>
      <w:pPr>
        <w:pStyle w:val="Heading1"/>
        <w:spacing w:after="160" w:before="360"/>
      </w:pPr>
      <w:r>
        <w:rPr>
          <w:rFonts w:ascii="Times New Roman" w:eastAsia="SimHei"/>
          <w:b/>
          <w:bCs/>
          <w:color w:val="0F2027"/>
          <w:sz w:val="32"/>
          <w:szCs w:val="32"/>
        </w:rPr>
        <w:t xml:space="preserve">Deployment &amp; Integration</w:t>
      </w:r>
    </w:p>
    <w:p>
      <w:pPr>
        <w:pBdr>
          <w:bottom w:val="single" w:color="D4AF37" w:sz="6" w:space="8"/>
        </w:pBdr>
        <w:spacing w:after="200" w:before="120"/>
        <w:ind w:left="0" w:right="0"/>
      </w:pPr>
    </w:p>
    <w:p>
      <w:pPr>
        <w:spacing w:after="80" w:line="312"/>
        <w:jc w:val="both"/>
      </w:pPr>
      <w:r>
        <w:rPr>
          <w:rFonts w:ascii="Calibri" w:eastAsia="Microsoft YaHei"/>
          <w:color w:val="1A2B40"/>
          <w:sz w:val="24"/>
          <w:szCs w:val="24"/>
        </w:rPr>
        <w:t xml:space="preserve">The backend is deployed on Render with auto-deployment from the GitHub main branch. The free plan introduces a cold-start latency of approximately 30 seconds when the service has been idle, which the frontend handles gracefully with a polling and retry mechanism. The FastAPI auto-generated documentation is available at /docs for interactive endpoint testing and schema exploration.</w:t>
      </w:r>
    </w:p>
    <w:p>
      <w:pPr>
        <w:spacing w:after="80" w:line="312"/>
        <w:jc w:val="both"/>
      </w:pPr>
      <w:r>
        <w:rPr>
          <w:rFonts w:ascii="Calibri" w:eastAsia="Microsoft YaHei"/>
          <w:color w:val="1A2B40"/>
          <w:sz w:val="24"/>
          <w:szCs w:val="24"/>
        </w:rPr>
        <w:t xml:space="preserve">Integration with the NextJS frontend follows a Backend-for-Frontend (BFF) pattern where all backend calls are proxied through NextJS API routes. The frontend's BFF layer handles authentication validation (via Clerk session tokens), request formatting, response transformation, error handling, and retry logic. This architecture ensures that the FastAPI backend remains a pure computation engine without any authentication or session management concerns.</w:t>
      </w:r>
    </w:p>
    <w:p>
      <w:pPr>
        <w:spacing w:after="80" w:line="312"/>
        <w:jc w:val="both"/>
      </w:pPr>
      <w:r>
        <w:rPr>
          <w:rFonts w:ascii="Calibri" w:eastAsia="Microsoft YaHei"/>
          <w:color w:val="1A2B40"/>
          <w:sz w:val="24"/>
          <w:szCs w:val="24"/>
        </w:rPr>
        <w:t xml:space="preserve">The backend supports both real-time and batch processing modes. Real-time analysis for individual symbols completes within seconds for standard configurations, while walk-forward optimization with Optuna can take several minutes depending on the number of trials and windows. The frontend's analysis loading indicator provides real-time feedback during long-running computations, displaying the current stage of the pipeline as it progresses.</w:t>
      </w:r>
    </w:p>
    <w:p>
      <w:pPr>
        <w:pStyle w:val="Heading1"/>
        <w:spacing w:after="160" w:before="360"/>
      </w:pPr>
      <w:r>
        <w:rPr>
          <w:rFonts w:ascii="Times New Roman" w:eastAsia="SimHei"/>
          <w:b/>
          <w:bCs/>
          <w:color w:val="0F2027"/>
          <w:sz w:val="32"/>
          <w:szCs w:val="32"/>
        </w:rPr>
        <w:t xml:space="preserve">Target Use Cases</w:t>
      </w:r>
    </w:p>
    <w:p>
      <w:pPr>
        <w:pBdr>
          <w:bottom w:val="single" w:color="D4AF37" w:sz="6" w:space="8"/>
        </w:pBdr>
        <w:spacing w:after="200" w:before="120"/>
        <w:ind w:left="0" w:right="0"/>
      </w:pPr>
    </w:p>
    <w:p>
      <w:pPr>
        <w:pStyle w:val="ListParagraph"/>
        <w:numPr>
          <w:ilvl w:val="0"/>
          <w:numId w:val="1"/>
        </w:numPr>
        <w:spacing w:after="60" w:line="312"/>
      </w:pPr>
      <w:r>
        <w:rPr>
          <w:rFonts w:ascii="Calibri" w:eastAsia="Microsoft YaHei"/>
          <w:color w:val="1A2B40"/>
          <w:sz w:val="24"/>
          <w:szCs w:val="24"/>
        </w:rPr>
        <w:t xml:space="preserve">Quantitative trading firms seeking regime-aware signal generation integrated into their existing execution infrastructure</w:t>
      </w:r>
    </w:p>
    <w:p>
      <w:pPr>
        <w:pStyle w:val="ListParagraph"/>
        <w:numPr>
          <w:ilvl w:val="0"/>
          <w:numId w:val="1"/>
        </w:numPr>
        <w:spacing w:after="60" w:line="312"/>
      </w:pPr>
      <w:r>
        <w:rPr>
          <w:rFonts w:ascii="Calibri" w:eastAsia="Microsoft YaHei"/>
          <w:color w:val="1A2B40"/>
          <w:sz w:val="24"/>
          <w:szCs w:val="24"/>
        </w:rPr>
        <w:t xml:space="preserve">Portfolio managers who need systematic risk management that adapts to changing market conditions rather than static thresholds</w:t>
      </w:r>
    </w:p>
    <w:p>
      <w:pPr>
        <w:pStyle w:val="ListParagraph"/>
        <w:numPr>
          <w:ilvl w:val="0"/>
          <w:numId w:val="1"/>
        </w:numPr>
        <w:spacing w:after="60" w:line="312"/>
      </w:pPr>
      <w:r>
        <w:rPr>
          <w:rFonts w:ascii="Calibri" w:eastAsia="Microsoft YaHei"/>
          <w:color w:val="1A2B40"/>
          <w:sz w:val="24"/>
          <w:szCs w:val="24"/>
        </w:rPr>
        <w:t xml:space="preserve">Academic researchers studying market microstructure, regime transitions, and the application of topological methods to financial time series</w:t>
      </w:r>
    </w:p>
    <w:p>
      <w:pPr>
        <w:pStyle w:val="ListParagraph"/>
        <w:numPr>
          <w:ilvl w:val="0"/>
          <w:numId w:val="1"/>
        </w:numPr>
        <w:spacing w:after="60" w:line="312"/>
      </w:pPr>
      <w:r>
        <w:rPr>
          <w:rFonts w:ascii="Calibri" w:eastAsia="Microsoft YaHei"/>
          <w:color w:val="1A2B40"/>
          <w:sz w:val="24"/>
          <w:szCs w:val="24"/>
        </w:rPr>
        <w:t xml:space="preserve">Algorithmic trading developers building automated strategy pipelines with built-in validation and evolution capabilities</w:t>
      </w:r>
    </w:p>
    <w:p>
      <w:pPr>
        <w:pStyle w:val="ListParagraph"/>
        <w:numPr>
          <w:ilvl w:val="0"/>
          <w:numId w:val="1"/>
        </w:numPr>
        <w:spacing w:after="60" w:line="312"/>
      </w:pPr>
      <w:r>
        <w:rPr>
          <w:rFonts w:ascii="Calibri" w:eastAsia="Microsoft YaHei"/>
          <w:color w:val="1A2B40"/>
          <w:sz w:val="24"/>
          <w:szCs w:val="24"/>
        </w:rPr>
        <w:t xml:space="preserve">Risk management teams requiring comprehensive VaR/CVaR analysis with stress testing and portfolio decomposition</w:t>
      </w:r>
    </w:p>
    <w:p>
      <w:pPr>
        <w:pStyle w:val="ListParagraph"/>
        <w:numPr>
          <w:ilvl w:val="0"/>
          <w:numId w:val="1"/>
        </w:numPr>
        <w:spacing w:after="60" w:line="312"/>
      </w:pPr>
      <w:r>
        <w:rPr>
          <w:rFonts w:ascii="Calibri" w:eastAsia="Microsoft YaHei"/>
          <w:color w:val="1A2B40"/>
          <w:sz w:val="24"/>
          <w:szCs w:val="24"/>
        </w:rPr>
        <w:t xml:space="preserve">Fintech startups evaluating regime-detection architectures for integration into their own trading platforms</w:t>
      </w:r>
    </w:p>
    <w:p>
      <w:pPr>
        <w:pStyle w:val="Heading1"/>
        <w:spacing w:after="160" w:before="360"/>
      </w:pPr>
      <w:r>
        <w:rPr>
          <w:rFonts w:ascii="Times New Roman" w:eastAsia="SimHei"/>
          <w:b/>
          <w:bCs/>
          <w:color w:val="0F2027"/>
          <w:sz w:val="32"/>
          <w:szCs w:val="32"/>
        </w:rPr>
        <w:t xml:space="preserve">Competitive Advantages</w:t>
      </w:r>
    </w:p>
    <w:p>
      <w:pPr>
        <w:pBdr>
          <w:bottom w:val="single" w:color="D4AF37" w:sz="6" w:space="8"/>
        </w:pBdr>
        <w:spacing w:after="200" w:before="120"/>
        <w:ind w:left="0" w:right="0"/>
      </w:pPr>
    </w:p>
    <w:p>
      <w:pPr>
        <w:spacing w:after="80" w:line="312"/>
        <w:jc w:val="both"/>
      </w:pPr>
      <w:r>
        <w:rPr>
          <w:rFonts w:ascii="Calibri" w:eastAsia="Microsoft YaHei"/>
          <w:b/>
          <w:bCs/>
          <w:color w:val="1A2B40"/>
          <w:sz w:val="24"/>
          <w:szCs w:val="24"/>
        </w:rPr>
        <w:t xml:space="preserve">Integrated Pipeline Architecture</w:t>
      </w:r>
    </w:p>
    <w:p>
      <w:pPr>
        <w:spacing w:after="80" w:line="312"/>
        <w:jc w:val="both"/>
      </w:pPr>
      <w:r>
        <w:rPr>
          <w:rFonts w:ascii="Calibri" w:eastAsia="Microsoft YaHei"/>
          <w:color w:val="1A2B40"/>
          <w:sz w:val="24"/>
          <w:szCs w:val="24"/>
        </w:rPr>
        <w:t xml:space="preserve">Most quantitative tools are siloed: one tool for regime detection, another for backtesting, a third for risk analysis. MarketRegimeTrader integrates the entire workflow from data ingestion through validated trade recommendations in a single coherent system. Each stage feeds naturally into the next: regime detection informs strategy selection, which drives position sizing, which constrains risk parameters, which gates trade execution. This integrated design eliminates the data format mismatches and latency overhead that plague multi-tool workflows.</w:t>
      </w:r>
    </w:p>
    <w:p>
      <w:pPr>
        <w:spacing w:after="80" w:line="312"/>
        <w:jc w:val="both"/>
      </w:pPr>
      <w:r>
        <w:rPr>
          <w:rFonts w:ascii="Calibri" w:eastAsia="Microsoft YaHei"/>
          <w:b/>
          <w:bCs/>
          <w:color w:val="1A2B40"/>
          <w:sz w:val="24"/>
          <w:szCs w:val="24"/>
        </w:rPr>
        <w:t xml:space="preserve">Topology-Enhanced Regime Detection</w:t>
      </w:r>
    </w:p>
    <w:p>
      <w:pPr>
        <w:spacing w:after="80" w:line="312"/>
        <w:jc w:val="both"/>
      </w:pPr>
      <w:r>
        <w:rPr>
          <w:rFonts w:ascii="Calibri" w:eastAsia="Microsoft YaHei"/>
          <w:color w:val="1A2B40"/>
          <w:sz w:val="24"/>
          <w:szCs w:val="24"/>
        </w:rPr>
        <w:t xml:space="preserve">The integration of Topological Data Analysis features directly into the HMM observation matrix is a distinguishing innovation. While some platforms offer TDA as a standalone visualization tool, MarketRegimeTrader uses topological features as first-class model inputs, enabling the HMM to classify regimes based on the geometric shape of market data rather than scalar statistics alone. This fusion produces more robust regime boundaries and earlier detection of structural transitions.</w:t>
      </w:r>
    </w:p>
    <w:p>
      <w:pPr>
        <w:spacing w:after="80" w:line="312"/>
        <w:jc w:val="both"/>
      </w:pPr>
      <w:r>
        <w:rPr>
          <w:rFonts w:ascii="Calibri" w:eastAsia="Microsoft YaHei"/>
          <w:b/>
          <w:bCs/>
          <w:color w:val="1A2B40"/>
          <w:sz w:val="24"/>
          <w:szCs w:val="24"/>
        </w:rPr>
        <w:t xml:space="preserve">Validation-First Design</w:t>
      </w:r>
    </w:p>
    <w:p>
      <w:pPr>
        <w:spacing w:after="80" w:line="312"/>
        <w:jc w:val="both"/>
      </w:pPr>
      <w:r>
        <w:rPr>
          <w:rFonts w:ascii="Calibri" w:eastAsia="Microsoft YaHei"/>
          <w:color w:val="1A2B40"/>
          <w:sz w:val="24"/>
          <w:szCs w:val="24"/>
        </w:rPr>
        <w:t xml:space="preserve">The walk-forward analysis framework is not an afterthought or a premium add-on; it is deeply integrated into the trading pipeline. Every trade recommendation can be validated through out-of-sample testing before execution, and the strategy evolution engine uses walk-forward performance as its optimization objective. This validation-first design philosophy ensures that the system's intelligence is grounded in rigorous statistical evidence rather than in-sample curve fitting.</w:t>
      </w:r>
    </w:p>
    <w:p>
      <w:pPr>
        <w:spacing w:after="80" w:line="312"/>
        <w:jc w:val="both"/>
      </w:pPr>
      <w:r>
        <w:rPr>
          <w:rFonts w:ascii="Calibri" w:eastAsia="Microsoft YaHei"/>
          <w:b/>
          <w:bCs/>
          <w:color w:val="1A2B40"/>
          <w:sz w:val="24"/>
          <w:szCs w:val="24"/>
        </w:rPr>
        <w:t xml:space="preserve">Self-Evolving Strategy Engine</w:t>
      </w:r>
    </w:p>
    <w:p>
      <w:pPr>
        <w:spacing w:after="80" w:line="312"/>
        <w:jc w:val="both"/>
      </w:pPr>
      <w:r>
        <w:rPr>
          <w:rFonts w:ascii="Calibri" w:eastAsia="Microsoft YaHei"/>
          <w:color w:val="1A2B40"/>
          <w:sz w:val="24"/>
          <w:szCs w:val="24"/>
        </w:rPr>
        <w:t xml:space="preserve">The auto-strategy generator uses genetic programming to evolve novel trading expressions that are then backtested and validated through the same rigorous pipeline as hand-crafted strategies. Combined with the Optuna-based hyperparameter optimization in the walk-forward framework, the engine can automatically discover and validate strategy improvements over time, creating a closed-loop system where trading intelligence improves with each optimization cycle.</w:t>
      </w:r>
    </w:p>
    <w:p>
      <w:pPr>
        <w:spacing w:before="600"/>
      </w:pPr>
    </w:p>
    <w:p>
      <w:pPr>
        <w:pBdr>
          <w:top w:val="single" w:color="4A6575" w:sz="4" w:space="12"/>
        </w:pBdr>
        <w:spacing w:after="200" w:before="200"/>
        <w:ind w:left="0" w:right="0"/>
      </w:pPr>
    </w:p>
    <w:p>
      <w:pPr>
        <w:spacing w:line="280"/>
        <w:jc w:val="left"/>
      </w:pPr>
      <w:r>
        <w:rPr>
          <w:rFonts w:ascii="Calibri" w:eastAsia="Microsoft YaHei"/>
          <w:i/>
          <w:iCs/>
          <w:color w:val="4A6575"/>
          <w:sz w:val="18"/>
          <w:szCs w:val="18"/>
        </w:rPr>
        <w:t xml:space="preserve">Disclaimer: This software is for educational and research purposes only. It is not financial advice. All trading occurs on Alpaca paper trading accounts. Past performance does not guarantee future results. Use at your own risk.</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4A6575"/>
        <w:sz w:val="16"/>
        <w:szCs w:val="16"/>
      </w:rPr>
      <w:t xml:space="preserve">MarketRegimeTrader  |  Backend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0F2027"/>
      <w:sz w:val="32"/>
      <w:szCs w:val="32"/>
    </w:rPr>
  </w:style>
  <w:style w:type="paragraph" w:styleId="Heading2">
    <w:name w:val="Heading 2"/>
    <w:basedOn w:val="Normal"/>
    <w:next w:val="Normal"/>
    <w:qFormat/>
    <w:pPr>
      <w:spacing w:after="120" w:before="280" w:line="312"/>
    </w:pPr>
    <w:rPr>
      <w:rFonts w:ascii="Times New Roman" w:eastAsia="SimHei"/>
      <w:b/>
      <w:bCs/>
      <w:color w:val="0F202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2026-05-13T21:10:41.113Z</dcterms:created>
  <dcterms:modified xsi:type="dcterms:W3CDTF">2026-05-13T21:10:41.114Z</dcterms:modified>
</cp:coreProperties>
</file>

<file path=docProps/custom.xml><?xml version="1.0" encoding="utf-8"?>
<Properties xmlns="http://schemas.openxmlformats.org/officeDocument/2006/custom-properties" xmlns:vt="http://schemas.openxmlformats.org/officeDocument/2006/docPropsVTypes"/>
</file>