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F2027" w:val="clear"/>
            <w:vAlign w:val="top"/>
          </w:tcPr>
          <w:p>
            <w:pPr>
              <w:spacing w:before="4565"/>
            </w:pPr>
          </w:p>
          <w:p>
            <w:pPr>
              <w:spacing w:after="80" w:line="1012" w:lineRule="atLeast"/>
              <w:jc w:val="left"/>
            </w:pPr>
            <w:r>
              <w:rPr>
                <w:rFonts w:ascii="Times New Roman" w:eastAsia="SimHei"/>
                <w:b/>
                <w:bCs/>
                <w:color w:val="FFFFFF"/>
                <w:sz w:val="88"/>
                <w:szCs w:val="88"/>
              </w:rPr>
              <w:t xml:space="preserve">Noble Trad</w:t>
            </w:r>
          </w:p>
          <w:p>
            <w:pPr>
              <w:spacing w:after="80" w:line="1012" w:lineRule="atLeast"/>
              <w:jc w:val="left"/>
            </w:pPr>
            <w:r>
              <w:rPr>
                <w:rFonts w:ascii="Times New Roman" w:eastAsia="SimHei"/>
                <w:b/>
                <w:bCs/>
                <w:color w:val="FFFFFF"/>
                <w:sz w:val="88"/>
                <w:szCs w:val="88"/>
              </w:rPr>
              <w:t xml:space="preserve">er Agent</w:t>
            </w:r>
          </w:p>
          <w:p>
            <w:pPr>
              <w:spacing w:after="120" w:before="1441" w:line="360" w:lineRule="atLeast"/>
              <w:jc w:val="left"/>
            </w:pPr>
            <w:r>
              <w:rPr>
                <w:rFonts w:ascii="Times New Roman" w:eastAsia="Microsoft YaHei"/>
                <w:color w:val="B0B8C0"/>
                <w:sz w:val="28"/>
                <w:szCs w:val="28"/>
              </w:rPr>
              <w:t xml:space="preserve">Dynamic Regime Risk Management Platform</w:t>
            </w:r>
          </w:p>
          <w:p>
            <w:pPr>
              <w:pBdr>
                <w:top w:val="single" w:color="D4AF37" w:sz="12" w:space="16"/>
              </w:pBdr>
              <w:spacing w:after="200" w:before="200"/>
              <w:ind w:left="0" w:right="6000"/>
            </w:pPr>
          </w:p>
          <w:p>
            <w:pPr>
              <w:spacing w:after="80" w:line="280" w:lineRule="atLeast"/>
              <w:jc w:val="left"/>
            </w:pPr>
            <w:r>
              <w:rPr>
                <w:rFonts w:ascii="Calibri" w:eastAsia="Microsoft YaHei"/>
                <w:color w:val="90989F"/>
                <w:sz w:val="22"/>
                <w:szCs w:val="22"/>
              </w:rPr>
              <w:t xml:space="preserve">AI-Powered Market Intelligence</w:t>
            </w:r>
          </w:p>
          <w:p>
            <w:pPr>
              <w:spacing w:after="80" w:line="280" w:lineRule="atLeast"/>
              <w:jc w:val="left"/>
            </w:pPr>
            <w:r>
              <w:rPr>
                <w:rFonts w:ascii="Calibri" w:eastAsia="Microsoft YaHei"/>
                <w:color w:val="90989F"/>
                <w:sz w:val="22"/>
                <w:szCs w:val="22"/>
              </w:rPr>
              <w:t xml:space="preserve">Real-Time Regime Detection &amp; Adaptive Risk Control</w:t>
            </w:r>
          </w:p>
          <w:p>
            <w:pPr>
              <w:spacing w:before="2402"/>
            </w:pPr>
          </w:p>
          <w:p>
            <w:pPr>
              <w:jc w:val="left"/>
            </w:pPr>
            <w:r>
              <w:rPr>
                <w:rFonts w:ascii="Calibri" w:eastAsia="Microsoft YaHei"/>
                <w:color w:val="687078"/>
                <w:sz w:val="18"/>
                <w:szCs w:val="18"/>
              </w:rPr>
              <w:t xml:space="preserve">Lexington Tech LLC  |  2026</w:t>
            </w:r>
          </w:p>
        </w:tc>
      </w:tr>
    </w:tbl>
    <w:p>
      <w:pPr>
        <w:sectPr>
          <w:pgSz w:w="11906" w:h="16838" w:orient="portrait"/>
          <w:pgMar w:top="0" w:right="0" w:bottom="0" w:left="0" w:header="708" w:footer="708" w:gutter="0"/>
          <w:pgNumType/>
          <w:docGrid w:linePitch="360"/>
        </w:sectPr>
      </w:pPr>
    </w:p>
    <w:p>
      <w:pPr>
        <w:pStyle w:val="Heading1"/>
        <w:spacing w:after="160" w:before="360"/>
      </w:pPr>
      <w:r>
        <w:rPr>
          <w:rFonts w:ascii="Times New Roman" w:eastAsia="SimHei"/>
          <w:b/>
          <w:bCs/>
          <w:color w:val="0F2027"/>
          <w:sz w:val="32"/>
          <w:szCs w:val="32"/>
        </w:rPr>
        <w:t xml:space="preserve">Executive Overview</w:t>
      </w:r>
    </w:p>
    <w:p>
      <w:pPr>
        <w:pBdr>
          <w:bottom w:val="single" w:color="D4AF37" w:sz="6" w:space="8"/>
        </w:pBdr>
        <w:spacing w:after="200" w:before="120"/>
        <w:ind w:left="0" w:right="0"/>
      </w:pPr>
    </w:p>
    <w:p>
      <w:pPr>
        <w:spacing w:after="80" w:line="312"/>
        <w:jc w:val="both"/>
      </w:pPr>
      <w:r>
        <w:rPr>
          <w:rFonts w:ascii="Calibri" w:eastAsia="Microsoft YaHei"/>
          <w:color w:val="1A2B40"/>
          <w:sz w:val="24"/>
          <w:szCs w:val="24"/>
        </w:rPr>
        <w:t xml:space="preserve">Noble Trader Agent is a next-generation, AI-powered market intelligence and risk management platform that transforms how traders and portfolio managers understand, navigate, and profit from evolving market regimes. Built on a foundation of advanced quantitative models including Hidden Markov Models, Kelly Criterion position sizing, Topological Data Analysis, and Optuna-driven strategy evolution, the platform delivers institutional-grade analytics through an intuitive, real-time web interface accessible from any device.</w:t>
      </w:r>
    </w:p>
    <w:p>
      <w:pPr>
        <w:spacing w:after="80" w:line="312"/>
        <w:jc w:val="both"/>
      </w:pPr>
      <w:r>
        <w:rPr>
          <w:rFonts w:ascii="Calibri" w:eastAsia="Microsoft YaHei"/>
          <w:color w:val="1A2B40"/>
          <w:sz w:val="24"/>
          <w:szCs w:val="24"/>
        </w:rPr>
        <w:t xml:space="preserve">Unlike traditional trading tools that rely on static indicators and lagging signals, Noble Trader Agent continuously detects market regime transitions in real time, adapting its strategy parameters and risk controls dynamically as conditions change. The platform processes live price feeds across equities, commodities, and forex, running a full analysis pipeline from regime detection through strategy signal generation, risk assessment, and trade execution, all within a single unified dashboard. Whether the market is trending bullishly, consolidating sideways, or entering a crisis drawdown, Noble Trader Agent identifies the transition early and adjusts its recommendations accordingly.</w:t>
      </w:r>
    </w:p>
    <w:p>
      <w:pPr>
        <w:spacing w:after="80" w:line="312"/>
        <w:jc w:val="both"/>
      </w:pPr>
      <w:r>
        <w:rPr>
          <w:rFonts w:ascii="Calibri" w:eastAsia="Microsoft YaHei"/>
          <w:color w:val="1A2B40"/>
          <w:sz w:val="24"/>
          <w:szCs w:val="24"/>
        </w:rPr>
        <w:t xml:space="preserve">The platform operates as a full-stack application with a NextJS v16 frontend deployed on Vercel and a Python FastAPI backend running advanced quantitative models on Render. Clerk provides secure authentication with SSO, while Supabase PostgreSQL handles all persistent data storage with row-level security. Every trade recommendation passes through a walk-forward validation gate before execution, and an evolving strategy engine continuously optimizes parameters based on live performance feedback, ensuring that the platform grows smarter over time.</w:t>
      </w:r>
    </w:p>
    <w:p>
      <w:pPr>
        <w:pStyle w:val="Heading1"/>
        <w:spacing w:after="160" w:before="360"/>
      </w:pPr>
      <w:r>
        <w:rPr>
          <w:rFonts w:ascii="Times New Roman" w:eastAsia="SimHei"/>
          <w:b/>
          <w:bCs/>
          <w:color w:val="0F2027"/>
          <w:sz w:val="32"/>
          <w:szCs w:val="32"/>
        </w:rPr>
        <w:t xml:space="preserve">The Problem We Solve</w:t>
      </w:r>
    </w:p>
    <w:p>
      <w:pPr>
        <w:pBdr>
          <w:bottom w:val="single" w:color="D4AF37" w:sz="6" w:space="8"/>
        </w:pBdr>
        <w:spacing w:after="200" w:before="120"/>
        <w:ind w:left="0" w:right="0"/>
      </w:pPr>
    </w:p>
    <w:p>
      <w:pPr>
        <w:spacing w:after="80" w:line="312"/>
        <w:jc w:val="both"/>
      </w:pPr>
      <w:r>
        <w:rPr>
          <w:rFonts w:ascii="Calibri" w:eastAsia="Microsoft YaHei"/>
          <w:color w:val="1A2B40"/>
          <w:sz w:val="24"/>
          <w:szCs w:val="24"/>
        </w:rPr>
        <w:t xml:space="preserve">Modern financial markets are characterized by rapid regime transitions that render static trading strategies obsolete. A strategy optimized for a bull market can generate catastrophic losses when conditions shift to a bear or sideways regime, yet most retail and semi-professional traders have no systematic way to detect these transitions until it is too late. Traditional technical indicators such as moving averages and RSI were designed for trending markets and produce misleading signals during regime changes, leading to whipsaw losses and eroded confidence.</w:t>
      </w:r>
    </w:p>
    <w:p>
      <w:pPr>
        <w:spacing w:after="80" w:line="312"/>
        <w:jc w:val="both"/>
      </w:pPr>
      <w:r>
        <w:rPr>
          <w:rFonts w:ascii="Calibri" w:eastAsia="Microsoft YaHei"/>
          <w:color w:val="1A2B40"/>
          <w:sz w:val="24"/>
          <w:szCs w:val="24"/>
        </w:rPr>
        <w:t xml:space="preserve">Furthermore, the gap between quantitative analysis and practical execution remains wide. Sophisticated models exist in Python notebooks and research papers, but translating their outputs into timely, actionable trade decisions requires expertise in both quantitative finance and software engineering. Most traders lack the infrastructure to run HMM regime detection, Kelly sizing, or topological anomaly analysis in real time, let alone to validate their strategies with walk-forward backtesting before committing capital.</w:t>
      </w:r>
    </w:p>
    <w:p>
      <w:pPr>
        <w:spacing w:after="80" w:line="312"/>
        <w:jc w:val="both"/>
      </w:pPr>
      <w:r>
        <w:rPr>
          <w:rFonts w:ascii="Calibri" w:eastAsia="Microsoft YaHei"/>
          <w:color w:val="1A2B40"/>
          <w:sz w:val="24"/>
          <w:szCs w:val="24"/>
        </w:rPr>
        <w:t xml:space="preserve">Noble Trader Agent bridges this gap by packaging institutional-grade quantitative models into a real-time, web-based platform that any authenticated user can operate immediately. The platform does not require Python expertise, data engineering pipelines, or manual parameter tuning. Instead, it automates the entire workflow from data acquisition through analysis, validation, and execution, while continuously evolving its strategy parameters to adapt to changing market conditions.</w:t>
      </w:r>
    </w:p>
    <w:p>
      <w:pPr>
        <w:pStyle w:val="Heading1"/>
        <w:spacing w:after="160" w:before="360"/>
      </w:pPr>
      <w:r>
        <w:rPr>
          <w:rFonts w:ascii="Times New Roman" w:eastAsia="SimHei"/>
          <w:b/>
          <w:bCs/>
          <w:color w:val="0F2027"/>
          <w:sz w:val="32"/>
          <w:szCs w:val="32"/>
        </w:rPr>
        <w:t xml:space="preserve">Core Capabilities</w:t>
      </w:r>
    </w:p>
    <w:p>
      <w:pPr>
        <w:pBdr>
          <w:bottom w:val="single" w:color="D4AF37" w:sz="6" w:space="8"/>
        </w:pBdr>
        <w:spacing w:after="200" w:before="120"/>
        <w:ind w:left="0" w:right="0"/>
      </w:pPr>
    </w:p>
    <w:p>
      <w:pPr>
        <w:pStyle w:val="Heading2"/>
        <w:spacing w:after="120" w:before="280"/>
      </w:pPr>
      <w:r>
        <w:rPr>
          <w:rFonts w:ascii="Times New Roman" w:eastAsia="SimHei"/>
          <w:b/>
          <w:bCs/>
          <w:color w:val="0F2027"/>
          <w:sz w:val="28"/>
          <w:szCs w:val="28"/>
        </w:rPr>
        <w:t xml:space="preserve">Real-Time Regime Detection</w:t>
      </w:r>
    </w:p>
    <w:p>
      <w:pPr>
        <w:spacing w:after="80" w:line="312"/>
        <w:jc w:val="both"/>
      </w:pPr>
      <w:r>
        <w:rPr>
          <w:rFonts w:ascii="Calibri" w:eastAsia="Microsoft YaHei"/>
          <w:color w:val="1A2B40"/>
          <w:sz w:val="24"/>
          <w:szCs w:val="24"/>
        </w:rPr>
        <w:t xml:space="preserve">At the heart of Noble Trader Agent lies a Hidden Markov Model (HMM) engine that continuously classifies market conditions into distinct regimes such as Bullish, Bearish, Sideways, Volatile, and Recovery. The model automatically determines the optimal number of states (2-4) for each asset and time period, then labels each state based on its statistical characteristics including mean return, volatility, and transition probabilities. Regime confidence scores tell you not just which state the market is in, but how certain the model is about its classification, enabling more nuanced decision-making when confidence is low.</w:t>
      </w:r>
    </w:p>
    <w:p>
      <w:pPr>
        <w:spacing w:after="80" w:line="312"/>
        <w:jc w:val="both"/>
      </w:pPr>
      <w:r>
        <w:rPr>
          <w:rFonts w:ascii="Calibri" w:eastAsia="Microsoft YaHei"/>
          <w:color w:val="1A2B40"/>
          <w:sz w:val="24"/>
          <w:szCs w:val="24"/>
        </w:rPr>
        <w:t xml:space="preserve">The regime detection pipeline runs on a configurable time horizon with 6-month, 1-year, and 2-year lookback windows. Each analysis generates a 24-dimensional observation vector that captures returns, volatility, derived technical features, HMM posterior probabilities, Markov transition metrics, and data quality indicators, providing a comprehensive fingerprint of current market conditions that feeds directly into the strategy and risk modules.</w:t>
      </w:r>
    </w:p>
    <w:p>
      <w:pPr>
        <w:pStyle w:val="Heading2"/>
        <w:spacing w:after="120" w:before="280"/>
      </w:pPr>
      <w:r>
        <w:rPr>
          <w:rFonts w:ascii="Times New Roman" w:eastAsia="SimHei"/>
          <w:b/>
          <w:bCs/>
          <w:color w:val="0F2027"/>
          <w:sz w:val="28"/>
          <w:szCs w:val="28"/>
        </w:rPr>
        <w:t xml:space="preserve">Adaptive Strategy Signals &amp; Kelly Position Sizing</w:t>
      </w:r>
    </w:p>
    <w:p>
      <w:pPr>
        <w:spacing w:after="80" w:line="312"/>
        <w:jc w:val="both"/>
      </w:pPr>
      <w:r>
        <w:rPr>
          <w:rFonts w:ascii="Calibri" w:eastAsia="Microsoft YaHei"/>
          <w:color w:val="1A2B40"/>
          <w:sz w:val="24"/>
          <w:szCs w:val="24"/>
        </w:rPr>
        <w:t xml:space="preserve">Once the current regime is identified, the platform generates directional strategy signals (Long, Short, or Flat) with associated confidence scores derived from the alignment between the detected regime and the optimal strategy for that regime. These signals are not static rules; they are dynamically computed based on the active strategy variant, which evolves over time through the platform's strategy evolution engine.</w:t>
      </w:r>
    </w:p>
    <w:p>
      <w:pPr>
        <w:spacing w:after="80" w:line="312"/>
        <w:jc w:val="both"/>
      </w:pPr>
      <w:r>
        <w:rPr>
          <w:rFonts w:ascii="Calibri" w:eastAsia="Microsoft YaHei"/>
          <w:color w:val="1A2B40"/>
          <w:sz w:val="24"/>
          <w:szCs w:val="24"/>
        </w:rPr>
        <w:t xml:space="preserve">Position sizing follows the Kelly Criterion, one of the most mathematically rigorous approaches to capital allocation. The platform computes a full Kelly sizing pipeline that progresses through five stages: Full Kelly, Fractional Kelly, Volatility-Scaled Kelly, Regime-Gated Kelly, and the final Recommended Size. Each stage applies an additional layer of risk management, ensuring that the final position size respects both the statistical edge and the current market environment. The result is a position size that is mathematically optimal for long-term growth while being constrained to survive short-term adverse scenarios.</w:t>
      </w:r>
    </w:p>
    <w:p>
      <w:pPr>
        <w:pStyle w:val="Heading2"/>
        <w:spacing w:after="120" w:before="280"/>
      </w:pPr>
      <w:r>
        <w:rPr>
          <w:rFonts w:ascii="Times New Roman" w:eastAsia="SimHei"/>
          <w:b/>
          <w:bCs/>
          <w:color w:val="0F2027"/>
          <w:sz w:val="28"/>
          <w:szCs w:val="28"/>
        </w:rPr>
        <w:t xml:space="preserve">Comprehensive Risk Analysis</w:t>
      </w:r>
    </w:p>
    <w:p>
      <w:pPr>
        <w:spacing w:after="80" w:line="312"/>
        <w:jc w:val="both"/>
      </w:pPr>
      <w:r>
        <w:rPr>
          <w:rFonts w:ascii="Calibri" w:eastAsia="Microsoft YaHei"/>
          <w:color w:val="1A2B40"/>
          <w:sz w:val="24"/>
          <w:szCs w:val="24"/>
        </w:rPr>
        <w:t xml:space="preserve">Every trade recommendation undergoes a thorough risk assessment that computes Value at Risk (VaR) at the 95% and 99% confidence levels, Conditional Value at Risk (CVaR) for tail risk estimation, maximum drawdown projections, and risk budget utilization. The risk engine evaluates both individual position risk and portfolio-level risk, flagging any risk limit breaches that would make a trade inadvisable. Sortino and Calmar ratios provide risk-adjusted performance metrics that distinguish between harmful downside volatility and beneficial upside volatility.</w:t>
      </w:r>
    </w:p>
    <w:p>
      <w:pPr>
        <w:spacing w:after="80" w:line="312"/>
        <w:jc w:val="both"/>
      </w:pPr>
      <w:r>
        <w:rPr>
          <w:rFonts w:ascii="Calibri" w:eastAsia="Microsoft YaHei"/>
          <w:color w:val="1A2B40"/>
          <w:sz w:val="24"/>
          <w:szCs w:val="24"/>
        </w:rPr>
        <w:t xml:space="preserve">The risk analysis also generates dynamic stop-loss and take-profit levels calibrated to the current regime's volatility characteristics. In a low-volatility bull market, tighter stops protect gains; in a high-volatility crisis, wider stops prevent premature exits from positions that may recover. This regime-aware risk management is a key differentiator from platforms that apply fixed risk parameters regardless of market conditions.</w:t>
      </w:r>
    </w:p>
    <w:p>
      <w:pPr>
        <w:pStyle w:val="Heading2"/>
        <w:spacing w:after="120" w:before="280"/>
      </w:pPr>
      <w:r>
        <w:rPr>
          <w:rFonts w:ascii="Times New Roman" w:eastAsia="SimHei"/>
          <w:b/>
          <w:bCs/>
          <w:color w:val="0F2027"/>
          <w:sz w:val="28"/>
          <w:szCs w:val="28"/>
        </w:rPr>
        <w:t xml:space="preserve">Walk-Forward Validation Gate</w:t>
      </w:r>
    </w:p>
    <w:p>
      <w:pPr>
        <w:spacing w:after="80" w:line="312"/>
        <w:jc w:val="both"/>
      </w:pPr>
      <w:r>
        <w:rPr>
          <w:rFonts w:ascii="Calibri" w:eastAsia="Microsoft YaHei"/>
          <w:color w:val="1A2B40"/>
          <w:sz w:val="24"/>
          <w:szCs w:val="24"/>
        </w:rPr>
        <w:t xml:space="preserve">No trade is executed without first passing a walk-forward validation test. The platform runs a historical backtest using the proposed strategy parameters, splitting the data into training and validation windows to verify that the strategy's performance is not merely the result of overfitting. Only trades that pass this out-of-sample validation gate proceed to the approval queue, with a validation score that quantifies the strategy's robustness. This systematic approach to strategy validation prevents the most common pitfall in systematic trading: deploying strategies that look impressive in-sample but fail in live markets.</w:t>
      </w:r>
    </w:p>
    <w:p>
      <w:pPr>
        <w:pStyle w:val="Heading2"/>
        <w:spacing w:after="120" w:before="280"/>
      </w:pPr>
      <w:r>
        <w:rPr>
          <w:rFonts w:ascii="Times New Roman" w:eastAsia="SimHei"/>
          <w:b/>
          <w:bCs/>
          <w:color w:val="0F2027"/>
          <w:sz w:val="28"/>
          <w:szCs w:val="28"/>
        </w:rPr>
        <w:t xml:space="preserve">Topological Data Analysis (TDA) Early Warning</w:t>
      </w:r>
    </w:p>
    <w:p>
      <w:pPr>
        <w:spacing w:after="80" w:line="312"/>
        <w:jc w:val="both"/>
      </w:pPr>
      <w:r>
        <w:rPr>
          <w:rFonts w:ascii="Calibri" w:eastAsia="Microsoft YaHei"/>
          <w:color w:val="1A2B40"/>
          <w:sz w:val="24"/>
          <w:szCs w:val="24"/>
        </w:rPr>
        <w:t xml:space="preserve">Noble Trader Agent incorporates Topological Data Analysis, a cutting-edge approach from computational geometry, to detect early signs of regime transitions before they become obvious in price action. By computing persistent homology features including Betti numbers and persistence entropy, the TDA module identifies structural changes in the shape of market data that often precede significant regime shifts. When Betti number changes exceed critical thresholds or anomaly scores rise above baseline, the platform generates early warning alerts, giving traders advance notice to adjust their positions before the broader market recognizes the shift.</w:t>
      </w:r>
    </w:p>
    <w:p>
      <w:pPr>
        <w:spacing w:after="80" w:line="312"/>
        <w:jc w:val="both"/>
      </w:pPr>
      <w:r>
        <w:rPr>
          <w:rFonts w:ascii="Calibri" w:eastAsia="Microsoft YaHei"/>
          <w:color w:val="1A2B40"/>
          <w:sz w:val="24"/>
          <w:szCs w:val="24"/>
        </w:rPr>
        <w:t xml:space="preserve">These TDA alerts are integrated into the dashboard's Alert History panel and can trigger Telegram notifications for traders who need to stay informed without constantly monitoring the platform. The combination of HMM regime detection for current-state classification and TDA for early transition warnings provides a uniquely powerful dual-lens view of market dynamics.</w:t>
      </w:r>
    </w:p>
    <w:p>
      <w:pPr>
        <w:pStyle w:val="Heading2"/>
        <w:spacing w:after="120" w:before="280"/>
      </w:pPr>
      <w:r>
        <w:rPr>
          <w:rFonts w:ascii="Times New Roman" w:eastAsia="SimHei"/>
          <w:b/>
          <w:bCs/>
          <w:color w:val="0F2027"/>
          <w:sz w:val="28"/>
          <w:szCs w:val="28"/>
        </w:rPr>
        <w:t xml:space="preserve">Strategy Evolution Engine</w:t>
      </w:r>
    </w:p>
    <w:p>
      <w:pPr>
        <w:spacing w:after="80" w:line="312"/>
        <w:jc w:val="both"/>
      </w:pPr>
      <w:r>
        <w:rPr>
          <w:rFonts w:ascii="Calibri" w:eastAsia="Microsoft YaHei"/>
          <w:color w:val="1A2B40"/>
          <w:sz w:val="24"/>
          <w:szCs w:val="24"/>
        </w:rPr>
        <w:t xml:space="preserve">The platform includes an automated strategy evolution system that uses Optuna-style hyperparameter optimization to continuously improve trading parameters based on live performance data. Strategy variants are stored in Supabase with their full parameter sets, and the evolution engine tracks live and backtest performance metrics for each variant over time. An A/B testing framework allows controlled experiments between variants, and automatic rotation promotes the best-performing variant to active status every six hours.</w:t>
      </w:r>
    </w:p>
    <w:p>
      <w:pPr>
        <w:spacing w:after="80" w:line="312"/>
        <w:jc w:val="both"/>
      </w:pPr>
      <w:r>
        <w:rPr>
          <w:rFonts w:ascii="Calibri" w:eastAsia="Microsoft YaHei"/>
          <w:color w:val="1A2B40"/>
          <w:sz w:val="24"/>
          <w:szCs w:val="24"/>
        </w:rPr>
        <w:t xml:space="preserve">The evolution engine creates a closed feedback loop: trade executions generate performance data, which feeds back into the optimization process, which produces improved strategy variants, which are then tested and promoted if superior. This creates a virtuous cycle where the platform's trading intelligence improves continuously without manual intervention, adapting to structural changes in market microstructure, volatility regimes, and correlation patterns.</w:t>
      </w:r>
    </w:p>
    <w:p>
      <w:pPr>
        <w:pStyle w:val="Heading1"/>
        <w:spacing w:after="160" w:before="360"/>
      </w:pPr>
      <w:r>
        <w:rPr>
          <w:rFonts w:ascii="Times New Roman" w:eastAsia="SimHei"/>
          <w:b/>
          <w:bCs/>
          <w:color w:val="0F2027"/>
          <w:sz w:val="32"/>
          <w:szCs w:val="32"/>
        </w:rPr>
        <w:t xml:space="preserve">Platform Features</w:t>
      </w:r>
    </w:p>
    <w:p>
      <w:pPr>
        <w:pBdr>
          <w:bottom w:val="single" w:color="D4AF37" w:sz="6" w:space="8"/>
        </w:pBdr>
        <w:spacing w:after="200" w:before="120"/>
        <w:ind w:left="0" w:right="0"/>
      </w:pPr>
    </w:p>
    <w:p>
      <w:pPr>
        <w:pStyle w:val="Heading2"/>
        <w:spacing w:after="120" w:before="280"/>
      </w:pPr>
      <w:r>
        <w:rPr>
          <w:rFonts w:ascii="Times New Roman" w:eastAsia="SimHei"/>
          <w:b/>
          <w:bCs/>
          <w:color w:val="0F2027"/>
          <w:sz w:val="28"/>
          <w:szCs w:val="28"/>
        </w:rPr>
        <w:t xml:space="preserve">Interactive Dashboard</w:t>
      </w:r>
    </w:p>
    <w:p>
      <w:pPr>
        <w:spacing w:after="80" w:line="312"/>
        <w:jc w:val="both"/>
      </w:pPr>
      <w:r>
        <w:rPr>
          <w:rFonts w:ascii="Calibri" w:eastAsia="Microsoft YaHei"/>
          <w:color w:val="1A2B40"/>
          <w:sz w:val="24"/>
          <w:szCs w:val="24"/>
        </w:rPr>
        <w:t xml:space="preserve">The main dashboard provides an at-a-glance view of market conditions across all tracked tickers. A Regime Summary Banner displays compact regime badges for Gold, Bitcoin, and USD/EUR, with color-coded indicators (green for bullish, red for bearish, amber for neutral/sideways). DaisyUI boxed tabs allow switching between individual ticker views, each displaying a comprehensive analysis card with accordion-style sections for Regime State, HMM Features, Risk Metrics, Recommendations, and AI Commentary. The accordion design ensures that only one section is expanded at a time, keeping the interface clean and focused.</w:t>
      </w:r>
    </w:p>
    <w:p>
      <w:pPr>
        <w:spacing w:after="80" w:line="312"/>
        <w:jc w:val="both"/>
      </w:pPr>
      <w:r>
        <w:rPr>
          <w:rFonts w:ascii="Calibri" w:eastAsia="Microsoft YaHei"/>
          <w:color w:val="1A2B40"/>
          <w:sz w:val="24"/>
          <w:szCs w:val="24"/>
        </w:rPr>
        <w:t xml:space="preserve">Live streaming is controlled from the top of the dashboard, where a prominent status bar shows the number of active SSE streams and provides a one-click button to activate live price feeds for all tickers. An auto-refresh option updates analysis every five minutes, while manual refresh is available on demand. Period selection toggles (6M, 1Y, 2Y) allow quick switching between analysis horizons with debounced data fetching to prevent unnecessary API calls.</w:t>
      </w:r>
    </w:p>
    <w:p>
      <w:pPr>
        <w:pStyle w:val="Heading2"/>
        <w:spacing w:after="120" w:before="280"/>
      </w:pPr>
      <w:r>
        <w:rPr>
          <w:rFonts w:ascii="Times New Roman" w:eastAsia="SimHei"/>
          <w:b/>
          <w:bCs/>
          <w:color w:val="0F2027"/>
          <w:sz w:val="28"/>
          <w:szCs w:val="28"/>
        </w:rPr>
        <w:t xml:space="preserve">Trading Workflow</w:t>
      </w:r>
    </w:p>
    <w:p>
      <w:pPr>
        <w:spacing w:after="80" w:line="312"/>
        <w:jc w:val="both"/>
      </w:pPr>
      <w:r>
        <w:rPr>
          <w:rFonts w:ascii="Calibri" w:eastAsia="Microsoft YaHei"/>
          <w:color w:val="1A2B40"/>
          <w:sz w:val="24"/>
          <w:szCs w:val="24"/>
        </w:rPr>
        <w:t xml:space="preserve">The Trading Workflow view provides a full pipeline interface for portfolio analysis and trade execution. Users initiate a comprehensive analysis that progresses through eight stages: Fetching Positions, HMM Regime Detection, Strategy Signals, Risk Analysis, TDA Anomaly Detection, Correlation Analysis, Portfolio Optimization, and Generating Recommendations. Each stage displays a visual progress indicator with real-time status updates.</w:t>
      </w:r>
    </w:p>
    <w:p>
      <w:pPr>
        <w:spacing w:after="80" w:line="312"/>
        <w:jc w:val="both"/>
      </w:pPr>
      <w:r>
        <w:rPr>
          <w:rFonts w:ascii="Calibri" w:eastAsia="Microsoft YaHei"/>
          <w:color w:val="1A2B40"/>
          <w:sz w:val="24"/>
          <w:szCs w:val="24"/>
        </w:rPr>
        <w:t xml:space="preserve">Generated recommendations appear with full context including regime classification, strategy signal, Kelly position sizing breakdown, risk scores, and walk-forward validation results. The approval workflow supports both individual and bulk approval, with a clear separation between approved and pending trades. Execution happens via Alpaca paper trading integration, ensuring that all trades are tested in a risk-free environment before committing real capital.</w:t>
      </w:r>
    </w:p>
    <w:p>
      <w:pPr>
        <w:pStyle w:val="Heading2"/>
        <w:spacing w:after="120" w:before="280"/>
      </w:pPr>
      <w:r>
        <w:rPr>
          <w:rFonts w:ascii="Times New Roman" w:eastAsia="SimHei"/>
          <w:b/>
          <w:bCs/>
          <w:color w:val="0F2027"/>
          <w:sz w:val="28"/>
          <w:szCs w:val="28"/>
        </w:rPr>
        <w:t xml:space="preserve">Portfolio Management</w:t>
      </w:r>
    </w:p>
    <w:p>
      <w:pPr>
        <w:spacing w:after="80" w:line="312"/>
        <w:jc w:val="both"/>
      </w:pPr>
      <w:r>
        <w:rPr>
          <w:rFonts w:ascii="Calibri" w:eastAsia="Microsoft YaHei"/>
          <w:color w:val="1A2B40"/>
          <w:sz w:val="24"/>
          <w:szCs w:val="24"/>
        </w:rPr>
        <w:t xml:space="preserve">The Portfolio section provides cross-asset correlation analysis, mean-variance portfolio optimization, and a live view of open Alpaca positions with real-time profit and loss tracking. The correlation matrix visualizes relationships between all tracked assets, enabling diversification-aware position sizing. The portfolio optimizer computes efficient frontier allocations that maximize risk-adjusted returns given the current correlation and volatility regime.</w:t>
      </w:r>
    </w:p>
    <w:p>
      <w:pPr>
        <w:pStyle w:val="Heading2"/>
        <w:spacing w:after="120" w:before="280"/>
      </w:pPr>
      <w:r>
        <w:rPr>
          <w:rFonts w:ascii="Times New Roman" w:eastAsia="SimHei"/>
          <w:b/>
          <w:bCs/>
          <w:color w:val="0F2027"/>
          <w:sz w:val="28"/>
          <w:szCs w:val="28"/>
        </w:rPr>
        <w:t xml:space="preserve">Monte Carlo Simulation</w:t>
      </w:r>
    </w:p>
    <w:p>
      <w:pPr>
        <w:spacing w:after="80" w:line="312"/>
        <w:jc w:val="both"/>
      </w:pPr>
      <w:r>
        <w:rPr>
          <w:rFonts w:ascii="Calibri" w:eastAsia="Microsoft YaHei"/>
          <w:color w:val="1A2B40"/>
          <w:sz w:val="24"/>
          <w:szCs w:val="24"/>
        </w:rPr>
        <w:t xml:space="preserve">The simulation module runs Monte Carlo price projections using historical volatility and return statistics. Results are visualized as a fan chart showing price trajectories at multiple confidence intervals, enabling traders to visualize the range of probable outcomes for any given position over their investment horizon. This probabilistic view of the future complements the deterministic signals from the strategy module, providing a more complete picture of potential scenarios.</w:t>
      </w:r>
    </w:p>
    <w:p>
      <w:pPr>
        <w:pStyle w:val="Heading2"/>
        <w:spacing w:after="120" w:before="280"/>
      </w:pPr>
      <w:r>
        <w:rPr>
          <w:rFonts w:ascii="Times New Roman" w:eastAsia="SimHei"/>
          <w:b/>
          <w:bCs/>
          <w:color w:val="0F2027"/>
          <w:sz w:val="28"/>
          <w:szCs w:val="28"/>
        </w:rPr>
        <w:t xml:space="preserve">Symbol Search &amp; Analysis</w:t>
      </w:r>
    </w:p>
    <w:p>
      <w:pPr>
        <w:spacing w:after="80" w:line="312"/>
        <w:jc w:val="both"/>
      </w:pPr>
      <w:r>
        <w:rPr>
          <w:rFonts w:ascii="Calibri" w:eastAsia="Microsoft YaHei"/>
          <w:color w:val="1A2B40"/>
          <w:sz w:val="24"/>
          <w:szCs w:val="24"/>
        </w:rPr>
        <w:t xml:space="preserve">Users can analyze any Yahoo Finance symbol on demand, extending the platform's coverage beyond the default tracked tickers. The search interface provides instant access to the full analysis pipeline for any asset, with Buy and Sell buttons that integrate directly with the trading workflow. This on-demand analysis capability ensures that traders can evaluate new opportunities as they arise without waiting for the dashboard's scheduled analysis cycle.</w:t>
      </w:r>
    </w:p>
    <w:p>
      <w:pPr>
        <w:pStyle w:val="Heading2"/>
        <w:spacing w:after="120" w:before="280"/>
      </w:pPr>
      <w:r>
        <w:rPr>
          <w:rFonts w:ascii="Times New Roman" w:eastAsia="SimHei"/>
          <w:b/>
          <w:bCs/>
          <w:color w:val="0F2027"/>
          <w:sz w:val="28"/>
          <w:szCs w:val="28"/>
        </w:rPr>
        <w:t xml:space="preserve">AI-Powered Market Commentary</w:t>
      </w:r>
    </w:p>
    <w:p>
      <w:pPr>
        <w:spacing w:after="80" w:line="312"/>
        <w:jc w:val="both"/>
      </w:pPr>
      <w:r>
        <w:rPr>
          <w:rFonts w:ascii="Calibri" w:eastAsia="Microsoft YaHei"/>
          <w:color w:val="1A2B40"/>
          <w:sz w:val="24"/>
          <w:szCs w:val="24"/>
        </w:rPr>
        <w:t xml:space="preserve">Each ticker analysis includes an AI-generated market commentary that synthesizes the quantitative analysis results into natural language insights. Powered by OpenAI or Google Generative AI, the commentary explains what the current regime classification means in practical terms, why the strategy signal is what it is, and what risks the trader should be aware of. This narrative layer bridges the gap between raw quantitative output and human understanding, making the platform accessible to traders who may not be fluent in the mathematics of HMM models and Kelly criteria.</w:t>
      </w:r>
    </w:p>
    <w:p>
      <w:pPr>
        <w:pStyle w:val="Heading1"/>
        <w:spacing w:after="160" w:before="360"/>
      </w:pPr>
      <w:r>
        <w:rPr>
          <w:rFonts w:ascii="Times New Roman" w:eastAsia="SimHei"/>
          <w:b/>
          <w:bCs/>
          <w:color w:val="0F2027"/>
          <w:sz w:val="32"/>
          <w:szCs w:val="32"/>
        </w:rPr>
        <w:t xml:space="preserve">Feature Matrix</w:t>
      </w:r>
    </w:p>
    <w:p>
      <w:pPr>
        <w:pBdr>
          <w:bottom w:val="single" w:color="D4AF37" w:sz="6" w:space="8"/>
        </w:pBdr>
        <w:spacing w:after="200" w:before="120"/>
        <w:ind w:left="0" w:right="0"/>
      </w:pP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Calibri" w:eastAsia="SimHei"/>
                <w:b/>
                <w:bCs/>
                <w:color w:val="1A1A1A"/>
                <w:sz w:val="21"/>
                <w:szCs w:val="21"/>
              </w:rPr>
              <w:t xml:space="preserve">Feature</w:t>
            </w:r>
          </w:p>
        </w:tc>
        <w:tc>
          <w:tcPr>
            <w:shd w:fill="C9A84C" w:val="clear"/>
            <w:tcMar>
              <w:top w:type="dxa" w:w="60"/>
              <w:left w:type="dxa" w:w="120"/>
              <w:bottom w:type="dxa" w:w="60"/>
              <w:right w:type="dxa" w:w="120"/>
            </w:tcMar>
          </w:tcPr>
          <w:p>
            <w:r>
              <w:rPr>
                <w:rFonts w:ascii="Calibri" w:eastAsia="SimHei"/>
                <w:b/>
                <w:bCs/>
                <w:color w:val="1A1A1A"/>
                <w:sz w:val="21"/>
                <w:szCs w:val="21"/>
              </w:rPr>
              <w:t xml:space="preserve">Description</w:t>
            </w:r>
          </w:p>
        </w:tc>
        <w:tc>
          <w:tcPr>
            <w:shd w:fill="C9A84C" w:val="clear"/>
            <w:tcMar>
              <w:top w:type="dxa" w:w="60"/>
              <w:left w:type="dxa" w:w="120"/>
              <w:bottom w:type="dxa" w:w="60"/>
              <w:right w:type="dxa" w:w="120"/>
            </w:tcMar>
          </w:tcPr>
          <w:p>
            <w:r>
              <w:rPr>
                <w:rFonts w:ascii="Calibri" w:eastAsia="SimHei"/>
                <w:b/>
                <w:bCs/>
                <w:color w:val="1A1A1A"/>
                <w:sz w:val="21"/>
                <w:szCs w:val="21"/>
              </w:rPr>
              <w:t xml:space="preserve">Status</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HMM Regime Detection</w:t>
            </w:r>
          </w:p>
        </w:tc>
        <w:tc>
          <w:tcPr>
            <w:shd w:fill="F5F2E8" w:val="clear"/>
            <w:tcMar>
              <w:top w:type="dxa" w:w="60"/>
              <w:left w:type="dxa" w:w="120"/>
              <w:bottom w:type="dxa" w:w="60"/>
              <w:right w:type="dxa" w:w="120"/>
            </w:tcMar>
          </w:tcPr>
          <w:p>
            <w:r>
              <w:rPr>
                <w:rFonts w:ascii="Calibri" w:eastAsia="Microsoft YaHei"/>
                <w:color w:val="1A2B40"/>
                <w:sz w:val="21"/>
                <w:szCs w:val="21"/>
              </w:rPr>
              <w:t xml:space="preserve">2-4 state auto-labeled regime classification with confidence scores</w:t>
            </w:r>
          </w:p>
        </w:tc>
        <w:tc>
          <w:tcPr>
            <w:shd w:fill="F5F2E8" w:val="clear"/>
            <w:tcMar>
              <w:top w:type="dxa" w:w="60"/>
              <w:left w:type="dxa" w:w="120"/>
              <w:bottom w:type="dxa" w:w="60"/>
              <w:right w:type="dxa" w:w="120"/>
            </w:tcMar>
          </w:tcPr>
          <w:p>
            <w:r>
              <w:rPr>
                <w:rFonts w:ascii="Calibri" w:eastAsia="Microsoft YaHei"/>
                <w:color w:val="1A2B40"/>
                <w:sz w:val="21"/>
                <w:szCs w:val="21"/>
              </w:rPr>
              <w:t xml:space="preserve">Live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Kelly Position Sizing</w:t>
            </w:r>
          </w:p>
        </w:tc>
        <w:tc>
          <w:tcPr>
            <w:shd w:fill="FFFFFF" w:val="clear"/>
            <w:tcMar>
              <w:top w:type="dxa" w:w="60"/>
              <w:left w:type="dxa" w:w="120"/>
              <w:bottom w:type="dxa" w:w="60"/>
              <w:right w:type="dxa" w:w="120"/>
            </w:tcMar>
          </w:tcPr>
          <w:p>
            <w:r>
              <w:rPr>
                <w:rFonts w:ascii="Calibri" w:eastAsia="Microsoft YaHei"/>
                <w:color w:val="1A2B40"/>
                <w:sz w:val="21"/>
                <w:szCs w:val="21"/>
              </w:rPr>
              <w:t xml:space="preserve">5-stage pipeline: Full, Fractional, Vol-Scaled, Regime-Gated, Recommended</w:t>
            </w:r>
          </w:p>
        </w:tc>
        <w:tc>
          <w:tcPr>
            <w:shd w:fill="FFFFFF" w:val="clear"/>
            <w:tcMar>
              <w:top w:type="dxa" w:w="60"/>
              <w:left w:type="dxa" w:w="120"/>
              <w:bottom w:type="dxa" w:w="60"/>
              <w:right w:type="dxa" w:w="120"/>
            </w:tcMar>
          </w:tcPr>
          <w:p>
            <w:r>
              <w:rPr>
                <w:rFonts w:ascii="Calibri" w:eastAsia="Microsoft YaHei"/>
                <w:color w:val="1A2B40"/>
                <w:sz w:val="21"/>
                <w:szCs w:val="21"/>
              </w:rPr>
              <w:t xml:space="preserve">Live</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Risk Engine</w:t>
            </w:r>
          </w:p>
        </w:tc>
        <w:tc>
          <w:tcPr>
            <w:shd w:fill="F5F2E8" w:val="clear"/>
            <w:tcMar>
              <w:top w:type="dxa" w:w="60"/>
              <w:left w:type="dxa" w:w="120"/>
              <w:bottom w:type="dxa" w:w="60"/>
              <w:right w:type="dxa" w:w="120"/>
            </w:tcMar>
          </w:tcPr>
          <w:p>
            <w:r>
              <w:rPr>
                <w:rFonts w:ascii="Calibri" w:eastAsia="Microsoft YaHei"/>
                <w:color w:val="1A2B40"/>
                <w:sz w:val="21"/>
                <w:szCs w:val="21"/>
              </w:rPr>
              <w:t xml:space="preserve">VaR, CVaR, Max Drawdown, Sortino/Calmar ratios, SL/TP alerts</w:t>
            </w:r>
          </w:p>
        </w:tc>
        <w:tc>
          <w:tcPr>
            <w:shd w:fill="F5F2E8" w:val="clear"/>
            <w:tcMar>
              <w:top w:type="dxa" w:w="60"/>
              <w:left w:type="dxa" w:w="120"/>
              <w:bottom w:type="dxa" w:w="60"/>
              <w:right w:type="dxa" w:w="120"/>
            </w:tcMar>
          </w:tcPr>
          <w:p>
            <w:r>
              <w:rPr>
                <w:rFonts w:ascii="Calibri" w:eastAsia="Microsoft YaHei"/>
                <w:color w:val="1A2B40"/>
                <w:sz w:val="21"/>
                <w:szCs w:val="21"/>
              </w:rPr>
              <w:t xml:space="preserve">Live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Walk-Forward Validation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Out-of-sample backtest validation gate before execution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Live</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TDA Early Warning</w:t>
            </w:r>
          </w:p>
        </w:tc>
        <w:tc>
          <w:tcPr>
            <w:shd w:fill="F5F2E8" w:val="clear"/>
            <w:tcMar>
              <w:top w:type="dxa" w:w="60"/>
              <w:left w:type="dxa" w:w="120"/>
              <w:bottom w:type="dxa" w:w="60"/>
              <w:right w:type="dxa" w:w="120"/>
            </w:tcMar>
          </w:tcPr>
          <w:p>
            <w:r>
              <w:rPr>
                <w:rFonts w:ascii="Calibri" w:eastAsia="Microsoft YaHei"/>
                <w:color w:val="1A2B40"/>
                <w:sz w:val="21"/>
                <w:szCs w:val="21"/>
              </w:rPr>
              <w:t xml:space="preserve">Persistent homology, Betti numbers, anomaly detection, regime change alerts</w:t>
            </w:r>
          </w:p>
        </w:tc>
        <w:tc>
          <w:tcPr>
            <w:shd w:fill="F5F2E8" w:val="clear"/>
            <w:tcMar>
              <w:top w:type="dxa" w:w="60"/>
              <w:left w:type="dxa" w:w="120"/>
              <w:bottom w:type="dxa" w:w="60"/>
              <w:right w:type="dxa" w:w="120"/>
            </w:tcMar>
          </w:tcPr>
          <w:p>
            <w:r>
              <w:rPr>
                <w:rFonts w:ascii="Calibri" w:eastAsia="Microsoft YaHei"/>
                <w:color w:val="1A2B40"/>
                <w:sz w:val="21"/>
                <w:szCs w:val="21"/>
              </w:rPr>
              <w:t xml:space="preserve">Live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Strategy Evolution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Optuna HPO, A/B testing, auto-rotation (6h cycle), daily optimization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Live</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Live Streaming</w:t>
            </w:r>
          </w:p>
        </w:tc>
        <w:tc>
          <w:tcPr>
            <w:shd w:fill="F5F2E8" w:val="clear"/>
            <w:tcMar>
              <w:top w:type="dxa" w:w="60"/>
              <w:left w:type="dxa" w:w="120"/>
              <w:bottom w:type="dxa" w:w="60"/>
              <w:right w:type="dxa" w:w="120"/>
            </w:tcMar>
          </w:tcPr>
          <w:p>
            <w:r>
              <w:rPr>
                <w:rFonts w:ascii="Calibri" w:eastAsia="Microsoft YaHei"/>
                <w:color w:val="1A2B40"/>
                <w:sz w:val="21"/>
                <w:szCs w:val="21"/>
              </w:rPr>
              <w:t xml:space="preserve">SSE-based real-time price feeds with polling fallback</w:t>
            </w:r>
          </w:p>
        </w:tc>
        <w:tc>
          <w:tcPr>
            <w:shd w:fill="F5F2E8" w:val="clear"/>
            <w:tcMar>
              <w:top w:type="dxa" w:w="60"/>
              <w:left w:type="dxa" w:w="120"/>
              <w:bottom w:type="dxa" w:w="60"/>
              <w:right w:type="dxa" w:w="120"/>
            </w:tcMar>
          </w:tcPr>
          <w:p>
            <w:r>
              <w:rPr>
                <w:rFonts w:ascii="Calibri" w:eastAsia="Microsoft YaHei"/>
                <w:color w:val="1A2B40"/>
                <w:sz w:val="21"/>
                <w:szCs w:val="21"/>
              </w:rPr>
              <w:t xml:space="preserve">Live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AI Commentary</w:t>
            </w:r>
          </w:p>
        </w:tc>
        <w:tc>
          <w:tcPr>
            <w:shd w:fill="FFFFFF" w:val="clear"/>
            <w:tcMar>
              <w:top w:type="dxa" w:w="60"/>
              <w:left w:type="dxa" w:w="120"/>
              <w:bottom w:type="dxa" w:w="60"/>
              <w:right w:type="dxa" w:w="120"/>
            </w:tcMar>
          </w:tcPr>
          <w:p>
            <w:r>
              <w:rPr>
                <w:rFonts w:ascii="Calibri" w:eastAsia="Microsoft YaHei"/>
                <w:color w:val="1A2B40"/>
                <w:sz w:val="21"/>
                <w:szCs w:val="21"/>
              </w:rPr>
              <w:t xml:space="preserve">OpenAI / Google GenAI market insight generation per ticker</w:t>
            </w:r>
          </w:p>
        </w:tc>
        <w:tc>
          <w:tcPr>
            <w:shd w:fill="FFFFFF" w:val="clear"/>
            <w:tcMar>
              <w:top w:type="dxa" w:w="60"/>
              <w:left w:type="dxa" w:w="120"/>
              <w:bottom w:type="dxa" w:w="60"/>
              <w:right w:type="dxa" w:w="120"/>
            </w:tcMar>
          </w:tcPr>
          <w:p>
            <w:r>
              <w:rPr>
                <w:rFonts w:ascii="Calibri" w:eastAsia="Microsoft YaHei"/>
                <w:color w:val="1A2B40"/>
                <w:sz w:val="21"/>
                <w:szCs w:val="21"/>
              </w:rPr>
              <w:t xml:space="preserve">Live</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Monte Carlo Simulation</w:t>
            </w:r>
          </w:p>
        </w:tc>
        <w:tc>
          <w:tcPr>
            <w:shd w:fill="F5F2E8" w:val="clear"/>
            <w:tcMar>
              <w:top w:type="dxa" w:w="60"/>
              <w:left w:type="dxa" w:w="120"/>
              <w:bottom w:type="dxa" w:w="60"/>
              <w:right w:type="dxa" w:w="120"/>
            </w:tcMar>
          </w:tcPr>
          <w:p>
            <w:r>
              <w:rPr>
                <w:rFonts w:ascii="Calibri" w:eastAsia="Microsoft YaHei"/>
                <w:color w:val="1A2B40"/>
                <w:sz w:val="21"/>
                <w:szCs w:val="21"/>
              </w:rPr>
              <w:t xml:space="preserve">Price fan chart with configurable confidence intervals</w:t>
            </w:r>
          </w:p>
        </w:tc>
        <w:tc>
          <w:tcPr>
            <w:shd w:fill="F5F2E8" w:val="clear"/>
            <w:tcMar>
              <w:top w:type="dxa" w:w="60"/>
              <w:left w:type="dxa" w:w="120"/>
              <w:bottom w:type="dxa" w:w="60"/>
              <w:right w:type="dxa" w:w="120"/>
            </w:tcMar>
          </w:tcPr>
          <w:p>
            <w:r>
              <w:rPr>
                <w:rFonts w:ascii="Calibri" w:eastAsia="Microsoft YaHei"/>
                <w:color w:val="1A2B40"/>
                <w:sz w:val="21"/>
                <w:szCs w:val="21"/>
              </w:rPr>
              <w:t xml:space="preserve">Live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Portfolio Optimizer</w:t>
            </w:r>
          </w:p>
        </w:tc>
        <w:tc>
          <w:tcPr>
            <w:shd w:fill="FFFFFF" w:val="clear"/>
            <w:tcMar>
              <w:top w:type="dxa" w:w="60"/>
              <w:left w:type="dxa" w:w="120"/>
              <w:bottom w:type="dxa" w:w="60"/>
              <w:right w:type="dxa" w:w="120"/>
            </w:tcMar>
          </w:tcPr>
          <w:p>
            <w:r>
              <w:rPr>
                <w:rFonts w:ascii="Calibri" w:eastAsia="Microsoft YaHei"/>
                <w:color w:val="1A2B40"/>
                <w:sz w:val="21"/>
                <w:szCs w:val="21"/>
              </w:rPr>
              <w:t xml:space="preserve">Mean-variance efficient frontier allocation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Live</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Correlation Analysis</w:t>
            </w:r>
          </w:p>
        </w:tc>
        <w:tc>
          <w:tcPr>
            <w:shd w:fill="F5F2E8" w:val="clear"/>
            <w:tcMar>
              <w:top w:type="dxa" w:w="60"/>
              <w:left w:type="dxa" w:w="120"/>
              <w:bottom w:type="dxa" w:w="60"/>
              <w:right w:type="dxa" w:w="120"/>
            </w:tcMar>
          </w:tcPr>
          <w:p>
            <w:r>
              <w:rPr>
                <w:rFonts w:ascii="Calibri" w:eastAsia="Microsoft YaHei"/>
                <w:color w:val="1A2B40"/>
                <w:sz w:val="21"/>
                <w:szCs w:val="21"/>
              </w:rPr>
              <w:t xml:space="preserve">Cross-asset correlation matrix with regime detection</w:t>
            </w:r>
          </w:p>
        </w:tc>
        <w:tc>
          <w:tcPr>
            <w:shd w:fill="F5F2E8" w:val="clear"/>
            <w:tcMar>
              <w:top w:type="dxa" w:w="60"/>
              <w:left w:type="dxa" w:w="120"/>
              <w:bottom w:type="dxa" w:w="60"/>
              <w:right w:type="dxa" w:w="120"/>
            </w:tcMar>
          </w:tcPr>
          <w:p>
            <w:r>
              <w:rPr>
                <w:rFonts w:ascii="Calibri" w:eastAsia="Microsoft YaHei"/>
                <w:color w:val="1A2B40"/>
                <w:sz w:val="21"/>
                <w:szCs w:val="21"/>
              </w:rPr>
              <w:t xml:space="preserve">Live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Telegram Notifications</w:t>
            </w:r>
          </w:p>
        </w:tc>
        <w:tc>
          <w:tcPr>
            <w:shd w:fill="FFFFFF" w:val="clear"/>
            <w:tcMar>
              <w:top w:type="dxa" w:w="60"/>
              <w:left w:type="dxa" w:w="120"/>
              <w:bottom w:type="dxa" w:w="60"/>
              <w:right w:type="dxa" w:w="120"/>
            </w:tcMar>
          </w:tcPr>
          <w:p>
            <w:r>
              <w:rPr>
                <w:rFonts w:ascii="Calibri" w:eastAsia="Microsoft YaHei"/>
                <w:color w:val="1A2B40"/>
                <w:sz w:val="21"/>
                <w:szCs w:val="21"/>
              </w:rPr>
              <w:t xml:space="preserve">Real-time alerts for regime changes, TDA anomalies, and trade events</w:t>
            </w:r>
          </w:p>
        </w:tc>
        <w:tc>
          <w:tcPr>
            <w:shd w:fill="FFFFFF" w:val="clear"/>
            <w:tcMar>
              <w:top w:type="dxa" w:w="60"/>
              <w:left w:type="dxa" w:w="120"/>
              <w:bottom w:type="dxa" w:w="60"/>
              <w:right w:type="dxa" w:w="120"/>
            </w:tcMar>
          </w:tcPr>
          <w:p>
            <w:r>
              <w:rPr>
                <w:rFonts w:ascii="Calibri" w:eastAsia="Microsoft YaHei"/>
                <w:color w:val="1A2B40"/>
                <w:sz w:val="21"/>
                <w:szCs w:val="21"/>
              </w:rPr>
              <w:t xml:space="preserve">Live</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Scheduled Orders</w:t>
            </w:r>
          </w:p>
        </w:tc>
        <w:tc>
          <w:tcPr>
            <w:shd w:fill="F5F2E8" w:val="clear"/>
            <w:tcMar>
              <w:top w:type="dxa" w:w="60"/>
              <w:left w:type="dxa" w:w="120"/>
              <w:bottom w:type="dxa" w:w="60"/>
              <w:right w:type="dxa" w:w="120"/>
            </w:tcMar>
          </w:tcPr>
          <w:p>
            <w:r>
              <w:rPr>
                <w:rFonts w:ascii="Calibri" w:eastAsia="Microsoft YaHei"/>
                <w:color w:val="1A2B40"/>
                <w:sz w:val="21"/>
                <w:szCs w:val="21"/>
              </w:rPr>
              <w:t xml:space="preserve">Cron-based automated trade execution at specified times</w:t>
            </w:r>
          </w:p>
        </w:tc>
        <w:tc>
          <w:tcPr>
            <w:shd w:fill="F5F2E8" w:val="clear"/>
            <w:tcMar>
              <w:top w:type="dxa" w:w="60"/>
              <w:left w:type="dxa" w:w="120"/>
              <w:bottom w:type="dxa" w:w="60"/>
              <w:right w:type="dxa" w:w="120"/>
            </w:tcMar>
          </w:tcPr>
          <w:p>
            <w:r>
              <w:rPr>
                <w:rFonts w:ascii="Calibri" w:eastAsia="Microsoft YaHei"/>
                <w:color w:val="1A2B40"/>
                <w:sz w:val="21"/>
                <w:szCs w:val="21"/>
              </w:rPr>
              <w:t xml:space="preserve">Live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Symbol Search</w:t>
            </w:r>
          </w:p>
        </w:tc>
        <w:tc>
          <w:tcPr>
            <w:shd w:fill="FFFFFF" w:val="clear"/>
            <w:tcMar>
              <w:top w:type="dxa" w:w="60"/>
              <w:left w:type="dxa" w:w="120"/>
              <w:bottom w:type="dxa" w:w="60"/>
              <w:right w:type="dxa" w:w="120"/>
            </w:tcMar>
          </w:tcPr>
          <w:p>
            <w:r>
              <w:rPr>
                <w:rFonts w:ascii="Calibri" w:eastAsia="Microsoft YaHei"/>
                <w:color w:val="1A2B40"/>
                <w:sz w:val="21"/>
                <w:szCs w:val="21"/>
              </w:rPr>
              <w:t xml:space="preserve">On-demand full pipeline analysis for any Yahoo Finance symbol</w:t>
            </w:r>
          </w:p>
        </w:tc>
        <w:tc>
          <w:tcPr>
            <w:shd w:fill="FFFFFF" w:val="clear"/>
            <w:tcMar>
              <w:top w:type="dxa" w:w="60"/>
              <w:left w:type="dxa" w:w="120"/>
              <w:bottom w:type="dxa" w:w="60"/>
              <w:right w:type="dxa" w:w="120"/>
            </w:tcMar>
          </w:tcPr>
          <w:p>
            <w:r>
              <w:rPr>
                <w:rFonts w:ascii="Calibri" w:eastAsia="Microsoft YaHei"/>
                <w:color w:val="1A2B40"/>
                <w:sz w:val="21"/>
                <w:szCs w:val="21"/>
              </w:rPr>
              <w:t xml:space="preserve">Live</w:t>
            </w:r>
          </w:p>
        </w:tc>
      </w:tr>
    </w:tbl>
    <w:p>
      <w:pPr>
        <w:pStyle w:val="Heading1"/>
        <w:spacing w:after="160" w:before="360"/>
      </w:pPr>
      <w:r>
        <w:rPr>
          <w:rFonts w:ascii="Times New Roman" w:eastAsia="SimHei"/>
          <w:b/>
          <w:bCs/>
          <w:color w:val="0F2027"/>
          <w:sz w:val="32"/>
          <w:szCs w:val="32"/>
        </w:rPr>
        <w:t xml:space="preserve">Technology Architecture</w:t>
      </w:r>
    </w:p>
    <w:p>
      <w:pPr>
        <w:pBdr>
          <w:bottom w:val="single" w:color="D4AF37" w:sz="6" w:space="8"/>
        </w:pBdr>
        <w:spacing w:after="200" w:before="120"/>
        <w:ind w:left="0" w:right="0"/>
      </w:pPr>
    </w:p>
    <w:p>
      <w:pPr>
        <w:spacing w:after="80" w:line="312"/>
        <w:jc w:val="both"/>
      </w:pPr>
      <w:r>
        <w:rPr>
          <w:rFonts w:ascii="Calibri" w:eastAsia="Microsoft YaHei"/>
          <w:color w:val="1A2B40"/>
          <w:sz w:val="24"/>
          <w:szCs w:val="24"/>
        </w:rPr>
        <w:t xml:space="preserve">Noble Trader Agent is built on a modern, scalable technology stack designed for real-time performance and maintainability. The frontend is a NextJS v16 application using React 19 with JSX (no TypeScript), styled with DaisyUI 5 and TailwindCSS 4 for a professional, consistent user interface. Clerk handles authentication with SSO support and securely stores Alpaca API keys in private metadata, enabling per-user brokerage integration without server-side key management.</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Calibri" w:eastAsia="SimHei"/>
                <w:b/>
                <w:bCs/>
                <w:color w:val="1A1A1A"/>
                <w:sz w:val="21"/>
                <w:szCs w:val="21"/>
              </w:rPr>
              <w:t xml:space="preserve">Layer</w:t>
            </w:r>
          </w:p>
        </w:tc>
        <w:tc>
          <w:tcPr>
            <w:shd w:fill="C9A84C" w:val="clear"/>
            <w:tcMar>
              <w:top w:type="dxa" w:w="60"/>
              <w:left w:type="dxa" w:w="120"/>
              <w:bottom w:type="dxa" w:w="60"/>
              <w:right w:type="dxa" w:w="120"/>
            </w:tcMar>
          </w:tcPr>
          <w:p>
            <w:r>
              <w:rPr>
                <w:rFonts w:ascii="Calibri" w:eastAsia="SimHei"/>
                <w:b/>
                <w:bCs/>
                <w:color w:val="1A1A1A"/>
                <w:sz w:val="21"/>
                <w:szCs w:val="21"/>
              </w:rPr>
              <w:t xml:space="preserve">Technology</w:t>
            </w:r>
          </w:p>
        </w:tc>
        <w:tc>
          <w:tcPr>
            <w:shd w:fill="C9A84C" w:val="clear"/>
            <w:tcMar>
              <w:top w:type="dxa" w:w="60"/>
              <w:left w:type="dxa" w:w="120"/>
              <w:bottom w:type="dxa" w:w="60"/>
              <w:right w:type="dxa" w:w="120"/>
            </w:tcMar>
          </w:tcPr>
          <w:p>
            <w:r>
              <w:rPr>
                <w:rFonts w:ascii="Calibri" w:eastAsia="SimHei"/>
                <w:b/>
                <w:bCs/>
                <w:color w:val="1A1A1A"/>
                <w:sz w:val="21"/>
                <w:szCs w:val="21"/>
              </w:rPr>
              <w:t xml:space="preserve">Purpose</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Frontend Framework</w:t>
            </w:r>
          </w:p>
        </w:tc>
        <w:tc>
          <w:tcPr>
            <w:shd w:fill="F5F2E8" w:val="clear"/>
            <w:tcMar>
              <w:top w:type="dxa" w:w="60"/>
              <w:left w:type="dxa" w:w="120"/>
              <w:bottom w:type="dxa" w:w="60"/>
              <w:right w:type="dxa" w:w="120"/>
            </w:tcMar>
          </w:tcPr>
          <w:p>
            <w:r>
              <w:rPr>
                <w:rFonts w:ascii="Calibri" w:eastAsia="Microsoft YaHei"/>
                <w:color w:val="1A2B40"/>
                <w:sz w:val="21"/>
                <w:szCs w:val="21"/>
              </w:rPr>
              <w:t xml:space="preserve">NextJS v16</w:t>
            </w:r>
          </w:p>
        </w:tc>
        <w:tc>
          <w:tcPr>
            <w:shd w:fill="F5F2E8" w:val="clear"/>
            <w:tcMar>
              <w:top w:type="dxa" w:w="60"/>
              <w:left w:type="dxa" w:w="120"/>
              <w:bottom w:type="dxa" w:w="60"/>
              <w:right w:type="dxa" w:w="120"/>
            </w:tcMar>
          </w:tcPr>
          <w:p>
            <w:r>
              <w:rPr>
                <w:rFonts w:ascii="Calibri" w:eastAsia="Microsoft YaHei"/>
                <w:color w:val="1A2B40"/>
                <w:sz w:val="21"/>
                <w:szCs w:val="21"/>
              </w:rPr>
              <w:t xml:space="preserve">App Router, SSR, API routes (BFF layer)</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UI Library</w:t>
            </w:r>
          </w:p>
        </w:tc>
        <w:tc>
          <w:tcPr>
            <w:shd w:fill="FFFFFF" w:val="clear"/>
            <w:tcMar>
              <w:top w:type="dxa" w:w="60"/>
              <w:left w:type="dxa" w:w="120"/>
              <w:bottom w:type="dxa" w:w="60"/>
              <w:right w:type="dxa" w:w="120"/>
            </w:tcMar>
          </w:tcPr>
          <w:p>
            <w:r>
              <w:rPr>
                <w:rFonts w:ascii="Calibri" w:eastAsia="Microsoft YaHei"/>
                <w:color w:val="1A2B40"/>
                <w:sz w:val="21"/>
                <w:szCs w:val="21"/>
              </w:rPr>
              <w:t xml:space="preserve">DaisyUI 5 + TailwindCSS 4</w:t>
            </w:r>
          </w:p>
        </w:tc>
        <w:tc>
          <w:tcPr>
            <w:shd w:fill="FFFFFF" w:val="clear"/>
            <w:tcMar>
              <w:top w:type="dxa" w:w="60"/>
              <w:left w:type="dxa" w:w="120"/>
              <w:bottom w:type="dxa" w:w="60"/>
              <w:right w:type="dxa" w:w="120"/>
            </w:tcMar>
          </w:tcPr>
          <w:p>
            <w:r>
              <w:rPr>
                <w:rFonts w:ascii="Calibri" w:eastAsia="Microsoft YaHei"/>
                <w:color w:val="1A2B40"/>
                <w:sz w:val="21"/>
                <w:szCs w:val="21"/>
              </w:rPr>
              <w:t xml:space="preserve">Component library and utility-first CSS</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Authentication</w:t>
            </w:r>
          </w:p>
        </w:tc>
        <w:tc>
          <w:tcPr>
            <w:shd w:fill="F5F2E8" w:val="clear"/>
            <w:tcMar>
              <w:top w:type="dxa" w:w="60"/>
              <w:left w:type="dxa" w:w="120"/>
              <w:bottom w:type="dxa" w:w="60"/>
              <w:right w:type="dxa" w:w="120"/>
            </w:tcMar>
          </w:tcPr>
          <w:p>
            <w:r>
              <w:rPr>
                <w:rFonts w:ascii="Calibri" w:eastAsia="Microsoft YaHei"/>
                <w:color w:val="1A2B40"/>
                <w:sz w:val="21"/>
                <w:szCs w:val="21"/>
              </w:rPr>
              <w:t xml:space="preserve">Clerk</w:t>
            </w:r>
          </w:p>
        </w:tc>
        <w:tc>
          <w:tcPr>
            <w:shd w:fill="F5F2E8" w:val="clear"/>
            <w:tcMar>
              <w:top w:type="dxa" w:w="60"/>
              <w:left w:type="dxa" w:w="120"/>
              <w:bottom w:type="dxa" w:w="60"/>
              <w:right w:type="dxa" w:w="120"/>
            </w:tcMar>
          </w:tcPr>
          <w:p>
            <w:r>
              <w:rPr>
                <w:rFonts w:ascii="Calibri" w:eastAsia="Microsoft YaHei"/>
                <w:color w:val="1A2B40"/>
                <w:sz w:val="21"/>
                <w:szCs w:val="21"/>
              </w:rPr>
              <w:t xml:space="preserve">SSO, user management, secure Alpaca key storage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Database</w:t>
            </w:r>
          </w:p>
        </w:tc>
        <w:tc>
          <w:tcPr>
            <w:shd w:fill="FFFFFF" w:val="clear"/>
            <w:tcMar>
              <w:top w:type="dxa" w:w="60"/>
              <w:left w:type="dxa" w:w="120"/>
              <w:bottom w:type="dxa" w:w="60"/>
              <w:right w:type="dxa" w:w="120"/>
            </w:tcMar>
          </w:tcPr>
          <w:p>
            <w:r>
              <w:rPr>
                <w:rFonts w:ascii="Calibri" w:eastAsia="Microsoft YaHei"/>
                <w:color w:val="1A2B40"/>
                <w:sz w:val="21"/>
                <w:szCs w:val="21"/>
              </w:rPr>
              <w:t xml:space="preserve">Supabase PostgreSQL</w:t>
            </w:r>
          </w:p>
        </w:tc>
        <w:tc>
          <w:tcPr>
            <w:shd w:fill="FFFFFF" w:val="clear"/>
            <w:tcMar>
              <w:top w:type="dxa" w:w="60"/>
              <w:left w:type="dxa" w:w="120"/>
              <w:bottom w:type="dxa" w:w="60"/>
              <w:right w:type="dxa" w:w="120"/>
            </w:tcMar>
          </w:tcPr>
          <w:p>
            <w:r>
              <w:rPr>
                <w:rFonts w:ascii="Calibri" w:eastAsia="Microsoft YaHei"/>
                <w:color w:val="1A2B40"/>
                <w:sz w:val="21"/>
                <w:szCs w:val="21"/>
              </w:rPr>
              <w:t xml:space="preserve">All persistence with row-level security and pg_cron</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Charts</w:t>
            </w:r>
          </w:p>
        </w:tc>
        <w:tc>
          <w:tcPr>
            <w:shd w:fill="F5F2E8" w:val="clear"/>
            <w:tcMar>
              <w:top w:type="dxa" w:w="60"/>
              <w:left w:type="dxa" w:w="120"/>
              <w:bottom w:type="dxa" w:w="60"/>
              <w:right w:type="dxa" w:w="120"/>
            </w:tcMar>
          </w:tcPr>
          <w:p>
            <w:r>
              <w:rPr>
                <w:rFonts w:ascii="Calibri" w:eastAsia="Microsoft YaHei"/>
                <w:color w:val="1A2B40"/>
                <w:sz w:val="21"/>
                <w:szCs w:val="21"/>
              </w:rPr>
              <w:t xml:space="preserve">Recharts 3</w:t>
            </w:r>
          </w:p>
        </w:tc>
        <w:tc>
          <w:tcPr>
            <w:shd w:fill="F5F2E8" w:val="clear"/>
            <w:tcMar>
              <w:top w:type="dxa" w:w="60"/>
              <w:left w:type="dxa" w:w="120"/>
              <w:bottom w:type="dxa" w:w="60"/>
              <w:right w:type="dxa" w:w="120"/>
            </w:tcMar>
          </w:tcPr>
          <w:p>
            <w:r>
              <w:rPr>
                <w:rFonts w:ascii="Calibri" w:eastAsia="Microsoft YaHei"/>
                <w:color w:val="1A2B40"/>
                <w:sz w:val="21"/>
                <w:szCs w:val="21"/>
              </w:rPr>
              <w:t xml:space="preserve">Price charts, fan charts, correlation heatmaps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State Management</w:t>
            </w:r>
          </w:p>
        </w:tc>
        <w:tc>
          <w:tcPr>
            <w:shd w:fill="FFFFFF" w:val="clear"/>
            <w:tcMar>
              <w:top w:type="dxa" w:w="60"/>
              <w:left w:type="dxa" w:w="120"/>
              <w:bottom w:type="dxa" w:w="60"/>
              <w:right w:type="dxa" w:w="120"/>
            </w:tcMar>
          </w:tcPr>
          <w:p>
            <w:r>
              <w:rPr>
                <w:rFonts w:ascii="Calibri" w:eastAsia="Microsoft YaHei"/>
                <w:color w:val="1A2B40"/>
                <w:sz w:val="21"/>
                <w:szCs w:val="21"/>
              </w:rPr>
              <w:t xml:space="preserve">Zustand</w:t>
            </w:r>
          </w:p>
        </w:tc>
        <w:tc>
          <w:tcPr>
            <w:shd w:fill="FFFFFF" w:val="clear"/>
            <w:tcMar>
              <w:top w:type="dxa" w:w="60"/>
              <w:left w:type="dxa" w:w="120"/>
              <w:bottom w:type="dxa" w:w="60"/>
              <w:right w:type="dxa" w:w="120"/>
            </w:tcMar>
          </w:tcPr>
          <w:p>
            <w:r>
              <w:rPr>
                <w:rFonts w:ascii="Calibri" w:eastAsia="Microsoft YaHei"/>
                <w:color w:val="1A2B40"/>
                <w:sz w:val="21"/>
                <w:szCs w:val="21"/>
              </w:rPr>
              <w:t xml:space="preserve">Lightweight global state with minimal boilerplate</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Real-Time</w:t>
            </w:r>
          </w:p>
        </w:tc>
        <w:tc>
          <w:tcPr>
            <w:shd w:fill="F5F2E8" w:val="clear"/>
            <w:tcMar>
              <w:top w:type="dxa" w:w="60"/>
              <w:left w:type="dxa" w:w="120"/>
              <w:bottom w:type="dxa" w:w="60"/>
              <w:right w:type="dxa" w:w="120"/>
            </w:tcMar>
          </w:tcPr>
          <w:p>
            <w:r>
              <w:rPr>
                <w:rFonts w:ascii="Calibri" w:eastAsia="Microsoft YaHei"/>
                <w:color w:val="1A2B40"/>
                <w:sz w:val="21"/>
                <w:szCs w:val="21"/>
              </w:rPr>
              <w:t xml:space="preserve">Server-Sent Events</w:t>
            </w:r>
          </w:p>
        </w:tc>
        <w:tc>
          <w:tcPr>
            <w:shd w:fill="F5F2E8" w:val="clear"/>
            <w:tcMar>
              <w:top w:type="dxa" w:w="60"/>
              <w:left w:type="dxa" w:w="120"/>
              <w:bottom w:type="dxa" w:w="60"/>
              <w:right w:type="dxa" w:w="120"/>
            </w:tcMar>
          </w:tcPr>
          <w:p>
            <w:r>
              <w:rPr>
                <w:rFonts w:ascii="Calibri" w:eastAsia="Microsoft YaHei"/>
                <w:color w:val="1A2B40"/>
                <w:sz w:val="21"/>
                <w:szCs w:val="21"/>
              </w:rPr>
              <w:t xml:space="preserve">Live price streaming with polling fallback</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AI</w:t>
            </w:r>
          </w:p>
        </w:tc>
        <w:tc>
          <w:tcPr>
            <w:shd w:fill="FFFFFF" w:val="clear"/>
            <w:tcMar>
              <w:top w:type="dxa" w:w="60"/>
              <w:left w:type="dxa" w:w="120"/>
              <w:bottom w:type="dxa" w:w="60"/>
              <w:right w:type="dxa" w:w="120"/>
            </w:tcMar>
          </w:tcPr>
          <w:p>
            <w:r>
              <w:rPr>
                <w:rFonts w:ascii="Calibri" w:eastAsia="Microsoft YaHei"/>
                <w:color w:val="1A2B40"/>
                <w:sz w:val="21"/>
                <w:szCs w:val="21"/>
              </w:rPr>
              <w:t xml:space="preserve">OpenAI / Google GenAI</w:t>
            </w:r>
          </w:p>
        </w:tc>
        <w:tc>
          <w:tcPr>
            <w:shd w:fill="FFFFFF" w:val="clear"/>
            <w:tcMar>
              <w:top w:type="dxa" w:w="60"/>
              <w:left w:type="dxa" w:w="120"/>
              <w:bottom w:type="dxa" w:w="60"/>
              <w:right w:type="dxa" w:w="120"/>
            </w:tcMar>
          </w:tcPr>
          <w:p>
            <w:r>
              <w:rPr>
                <w:rFonts w:ascii="Calibri" w:eastAsia="Microsoft YaHei"/>
                <w:color w:val="1A2B40"/>
                <w:sz w:val="21"/>
                <w:szCs w:val="21"/>
              </w:rPr>
              <w:t xml:space="preserve">LLM-powered market commentary generation</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Backend</w:t>
            </w:r>
          </w:p>
        </w:tc>
        <w:tc>
          <w:tcPr>
            <w:shd w:fill="F5F2E8" w:val="clear"/>
            <w:tcMar>
              <w:top w:type="dxa" w:w="60"/>
              <w:left w:type="dxa" w:w="120"/>
              <w:bottom w:type="dxa" w:w="60"/>
              <w:right w:type="dxa" w:w="120"/>
            </w:tcMar>
          </w:tcPr>
          <w:p>
            <w:r>
              <w:rPr>
                <w:rFonts w:ascii="Calibri" w:eastAsia="Microsoft YaHei"/>
                <w:color w:val="1A2B40"/>
                <w:sz w:val="21"/>
                <w:szCs w:val="21"/>
              </w:rPr>
              <w:t xml:space="preserve">Python FastAPI</w:t>
            </w:r>
          </w:p>
        </w:tc>
        <w:tc>
          <w:tcPr>
            <w:shd w:fill="F5F2E8" w:val="clear"/>
            <w:tcMar>
              <w:top w:type="dxa" w:w="60"/>
              <w:left w:type="dxa" w:w="120"/>
              <w:bottom w:type="dxa" w:w="60"/>
              <w:right w:type="dxa" w:w="120"/>
            </w:tcMar>
          </w:tcPr>
          <w:p>
            <w:r>
              <w:rPr>
                <w:rFonts w:ascii="Calibri" w:eastAsia="Microsoft YaHei"/>
                <w:color w:val="1A2B40"/>
                <w:sz w:val="21"/>
                <w:szCs w:val="21"/>
              </w:rPr>
              <w:t xml:space="preserve">HMM, Kelly, risk, backtest, TDA models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Deployment</w:t>
            </w:r>
          </w:p>
        </w:tc>
        <w:tc>
          <w:tcPr>
            <w:shd w:fill="FFFFFF" w:val="clear"/>
            <w:tcMar>
              <w:top w:type="dxa" w:w="60"/>
              <w:left w:type="dxa" w:w="120"/>
              <w:bottom w:type="dxa" w:w="60"/>
              <w:right w:type="dxa" w:w="120"/>
            </w:tcMar>
          </w:tcPr>
          <w:p>
            <w:r>
              <w:rPr>
                <w:rFonts w:ascii="Calibri" w:eastAsia="Microsoft YaHei"/>
                <w:color w:val="1A2B40"/>
                <w:sz w:val="21"/>
                <w:szCs w:val="21"/>
              </w:rPr>
              <w:t xml:space="preserve">Vercel + Render</w:t>
            </w:r>
          </w:p>
        </w:tc>
        <w:tc>
          <w:tcPr>
            <w:shd w:fill="FFFFFF" w:val="clear"/>
            <w:tcMar>
              <w:top w:type="dxa" w:w="60"/>
              <w:left w:type="dxa" w:w="120"/>
              <w:bottom w:type="dxa" w:w="60"/>
              <w:right w:type="dxa" w:w="120"/>
            </w:tcMar>
          </w:tcPr>
          <w:p>
            <w:r>
              <w:rPr>
                <w:rFonts w:ascii="Calibri" w:eastAsia="Microsoft YaHei"/>
                <w:color w:val="1A2B40"/>
                <w:sz w:val="21"/>
                <w:szCs w:val="21"/>
              </w:rPr>
              <w:t xml:space="preserve">Auto-deploy from GitHub main branch</w:t>
            </w:r>
          </w:p>
        </w:tc>
      </w:tr>
    </w:tbl>
    <w:p>
      <w:pPr>
        <w:spacing w:after="80" w:line="312"/>
        <w:jc w:val="both"/>
      </w:pPr>
      <w:r>
        <w:rPr>
          <w:rFonts w:ascii="Calibri" w:eastAsia="Microsoft YaHei"/>
          <w:color w:val="1A2B40"/>
          <w:sz w:val="24"/>
          <w:szCs w:val="24"/>
        </w:rPr>
        <w:t xml:space="preserve">The Backend-for-Frontend (BFF) architecture ensures that the client never communicates directly with the FastAPI backend or Supabase. All data flows through NextJS API routes, which handle authentication validation, request formatting, response transformation, and error handling. This architecture provides a clean separation of concerns, centralizes security enforcement, and allows the backend quantitative models to evolve independently of the frontend interface.</w:t>
      </w:r>
    </w:p>
    <w:p>
      <w:pPr>
        <w:pStyle w:val="Heading1"/>
        <w:spacing w:after="160" w:before="360"/>
      </w:pPr>
      <w:r>
        <w:rPr>
          <w:rFonts w:ascii="Times New Roman" w:eastAsia="SimHei"/>
          <w:b/>
          <w:bCs/>
          <w:color w:val="0F2027"/>
          <w:sz w:val="32"/>
          <w:szCs w:val="32"/>
        </w:rPr>
        <w:t xml:space="preserve">Security &amp; Reliability</w:t>
      </w:r>
    </w:p>
    <w:p>
      <w:pPr>
        <w:pBdr>
          <w:bottom w:val="single" w:color="D4AF37" w:sz="6" w:space="8"/>
        </w:pBdr>
        <w:spacing w:after="200" w:before="120"/>
        <w:ind w:left="0" w:right="0"/>
      </w:pPr>
    </w:p>
    <w:p>
      <w:pPr>
        <w:spacing w:after="80" w:line="312"/>
        <w:jc w:val="both"/>
      </w:pPr>
      <w:r>
        <w:rPr>
          <w:rFonts w:ascii="Calibri" w:eastAsia="Microsoft YaHei"/>
          <w:color w:val="1A2B40"/>
          <w:sz w:val="24"/>
          <w:szCs w:val="24"/>
        </w:rPr>
        <w:t xml:space="preserve">Security is a foundational concern in any trading platform. Noble Trader Agent employs multiple layers of protection to ensure that user data and trading credentials remain secure. Clerk provides enterprise-grade authentication with SSO, MFA, and session management, while Alpaca API keys are stored exclusively in Clerk's private metadata, which is accessible only server-side through authenticated API routes. The platform never exposes API keys to the client browser.</w:t>
      </w:r>
    </w:p>
    <w:p>
      <w:pPr>
        <w:spacing w:after="80" w:line="312"/>
        <w:jc w:val="both"/>
      </w:pPr>
      <w:r>
        <w:rPr>
          <w:rFonts w:ascii="Calibri" w:eastAsia="Microsoft YaHei"/>
          <w:color w:val="1A2B40"/>
          <w:sz w:val="24"/>
          <w:szCs w:val="24"/>
        </w:rPr>
        <w:t xml:space="preserve">Supabase row-level security (RLS) ensures that users can only access their own trade recommendations, positions, and strategy data. All API routes validate Clerk session tokens before processing requests, and server-side rate limiting prevents abuse. The FastAPI backend requires a shared secret for authentication, adding an additional layer of protection between the frontend and the quantitative models.</w:t>
      </w:r>
    </w:p>
    <w:p>
      <w:pPr>
        <w:spacing w:after="80" w:line="312"/>
        <w:jc w:val="both"/>
      </w:pPr>
      <w:r>
        <w:rPr>
          <w:rFonts w:ascii="Calibri" w:eastAsia="Microsoft YaHei"/>
          <w:color w:val="1A2B40"/>
          <w:sz w:val="24"/>
          <w:szCs w:val="24"/>
        </w:rPr>
        <w:t xml:space="preserve">Reliability is ensured through graceful degradation patterns. When the FastAPI backend is unavailable (e.g., during a cold start on the Render free plan), the platform falls back to advisory mode with cached data and local validation, ensuring that the dashboard remains functional even when backend services are temporarily unreachable. SSE streaming connections include automatic reconnection logic and a polling fallback that activates when WebSocket connections fail.</w:t>
      </w:r>
    </w:p>
    <w:p>
      <w:pPr>
        <w:pStyle w:val="Heading1"/>
        <w:spacing w:after="160" w:before="360"/>
      </w:pPr>
      <w:r>
        <w:rPr>
          <w:rFonts w:ascii="Times New Roman" w:eastAsia="SimHei"/>
          <w:b/>
          <w:bCs/>
          <w:color w:val="0F2027"/>
          <w:sz w:val="32"/>
          <w:szCs w:val="32"/>
        </w:rPr>
        <w:t xml:space="preserve">Target Audience</w:t>
      </w:r>
    </w:p>
    <w:p>
      <w:pPr>
        <w:pBdr>
          <w:bottom w:val="single" w:color="D4AF37" w:sz="6" w:space="8"/>
        </w:pBdr>
        <w:spacing w:after="200" w:before="120"/>
        <w:ind w:left="0" w:right="0"/>
      </w:pPr>
    </w:p>
    <w:p>
      <w:pPr>
        <w:pStyle w:val="ListParagraph"/>
        <w:numPr>
          <w:ilvl w:val="0"/>
          <w:numId w:val="1"/>
        </w:numPr>
        <w:spacing w:after="60" w:line="312"/>
      </w:pPr>
      <w:r>
        <w:rPr>
          <w:rFonts w:ascii="Calibri" w:eastAsia="Microsoft YaHei"/>
          <w:color w:val="1A2B40"/>
          <w:sz w:val="24"/>
          <w:szCs w:val="24"/>
        </w:rPr>
        <w:t xml:space="preserve">Semi-professional traders seeking institutional-grade analytics without the complexity of building their own quantitative infrastructure</w:t>
      </w:r>
    </w:p>
    <w:p>
      <w:pPr>
        <w:pStyle w:val="ListParagraph"/>
        <w:numPr>
          <w:ilvl w:val="0"/>
          <w:numId w:val="1"/>
        </w:numPr>
        <w:spacing w:after="60" w:line="312"/>
      </w:pPr>
      <w:r>
        <w:rPr>
          <w:rFonts w:ascii="Calibri" w:eastAsia="Microsoft YaHei"/>
          <w:color w:val="1A2B40"/>
          <w:sz w:val="24"/>
          <w:szCs w:val="24"/>
        </w:rPr>
        <w:t xml:space="preserve">Portfolio managers who need real-time regime-aware risk management across multiple asset classes</w:t>
      </w:r>
    </w:p>
    <w:p>
      <w:pPr>
        <w:pStyle w:val="ListParagraph"/>
        <w:numPr>
          <w:ilvl w:val="0"/>
          <w:numId w:val="1"/>
        </w:numPr>
        <w:spacing w:after="60" w:line="312"/>
      </w:pPr>
      <w:r>
        <w:rPr>
          <w:rFonts w:ascii="Calibri" w:eastAsia="Microsoft YaHei"/>
          <w:color w:val="1A2B40"/>
          <w:sz w:val="24"/>
          <w:szCs w:val="24"/>
        </w:rPr>
        <w:t xml:space="preserve">Algorithmic trading enthusiasts who want to leverage HMM, Kelly, and TDA models without writing Python code</w:t>
      </w:r>
    </w:p>
    <w:p>
      <w:pPr>
        <w:pStyle w:val="ListParagraph"/>
        <w:numPr>
          <w:ilvl w:val="0"/>
          <w:numId w:val="1"/>
        </w:numPr>
        <w:spacing w:after="60" w:line="312"/>
      </w:pPr>
      <w:r>
        <w:rPr>
          <w:rFonts w:ascii="Calibri" w:eastAsia="Microsoft YaHei"/>
          <w:color w:val="1A2B40"/>
          <w:sz w:val="24"/>
          <w:szCs w:val="24"/>
        </w:rPr>
        <w:t xml:space="preserve">Finance students and researchers who want hands-on experience with advanced quantitative models in a live market environment</w:t>
      </w:r>
    </w:p>
    <w:p>
      <w:pPr>
        <w:pStyle w:val="ListParagraph"/>
        <w:numPr>
          <w:ilvl w:val="0"/>
          <w:numId w:val="1"/>
        </w:numPr>
        <w:spacing w:after="60" w:line="312"/>
      </w:pPr>
      <w:r>
        <w:rPr>
          <w:rFonts w:ascii="Calibri" w:eastAsia="Microsoft YaHei"/>
          <w:color w:val="1A2B40"/>
          <w:sz w:val="24"/>
          <w:szCs w:val="24"/>
        </w:rPr>
        <w:t xml:space="preserve">Crypto and commodity traders who need to detect regime transitions in volatile markets before they become obvious</w:t>
      </w:r>
    </w:p>
    <w:p>
      <w:pPr>
        <w:pStyle w:val="ListParagraph"/>
        <w:numPr>
          <w:ilvl w:val="0"/>
          <w:numId w:val="1"/>
        </w:numPr>
        <w:spacing w:after="60" w:line="312"/>
      </w:pPr>
      <w:r>
        <w:rPr>
          <w:rFonts w:ascii="Calibri" w:eastAsia="Microsoft YaHei"/>
          <w:color w:val="1A2B40"/>
          <w:sz w:val="24"/>
          <w:szCs w:val="24"/>
        </w:rPr>
        <w:t xml:space="preserve">Fintech teams evaluating regime-aware trading architectures for their own product development</w:t>
      </w:r>
    </w:p>
    <w:p>
      <w:pPr>
        <w:pStyle w:val="Heading1"/>
        <w:spacing w:after="160" w:before="360"/>
      </w:pPr>
      <w:r>
        <w:rPr>
          <w:rFonts w:ascii="Times New Roman" w:eastAsia="SimHei"/>
          <w:b/>
          <w:bCs/>
          <w:color w:val="0F2027"/>
          <w:sz w:val="32"/>
          <w:szCs w:val="32"/>
        </w:rPr>
        <w:t xml:space="preserve">Competitive Advantages</w:t>
      </w:r>
    </w:p>
    <w:p>
      <w:pPr>
        <w:pBdr>
          <w:bottom w:val="single" w:color="D4AF37" w:sz="6" w:space="8"/>
        </w:pBdr>
        <w:spacing w:after="200" w:before="120"/>
        <w:ind w:left="0" w:right="0"/>
      </w:pPr>
    </w:p>
    <w:p>
      <w:pPr>
        <w:spacing w:after="80" w:line="312"/>
        <w:jc w:val="both"/>
      </w:pPr>
      <w:r>
        <w:rPr>
          <w:rFonts w:ascii="Calibri" w:eastAsia="Microsoft YaHei"/>
          <w:color w:val="1A2B40"/>
          <w:sz w:val="24"/>
          <w:szCs w:val="24"/>
        </w:rPr>
        <w:t xml:space="preserve">Noble Trader Agent distinguishes itself from existing trading platforms through several key differentiators that combine to create a uniquely powerful and accessible market intelligence tool.</w:t>
      </w:r>
    </w:p>
    <w:p>
      <w:pPr>
        <w:spacing w:after="80" w:line="312"/>
        <w:jc w:val="both"/>
      </w:pPr>
      <w:r>
        <w:rPr>
          <w:rFonts w:ascii="Calibri" w:eastAsia="Microsoft YaHei"/>
          <w:b/>
          <w:bCs/>
          <w:color w:val="1A2B40"/>
          <w:sz w:val="24"/>
          <w:szCs w:val="24"/>
        </w:rPr>
        <w:t xml:space="preserve">Regime-First Architecture</w:t>
      </w:r>
    </w:p>
    <w:p>
      <w:pPr>
        <w:spacing w:after="80" w:line="312"/>
        <w:jc w:val="both"/>
      </w:pPr>
      <w:r>
        <w:rPr>
          <w:rFonts w:ascii="Calibri" w:eastAsia="Microsoft YaHei"/>
          <w:color w:val="1A2B40"/>
          <w:sz w:val="24"/>
          <w:szCs w:val="24"/>
        </w:rPr>
        <w:t xml:space="preserve">While most trading platforms treat regime detection as an optional overlay, Noble Trader Agent places it at the center of every decision. Strategy signals, position sizing, and risk parameters are all computed relative to the current detected regime, ensuring that the platform's recommendations are always contextually appropriate. This regime-first approach prevents the common failure mode of applying bullish strategies to bearish markets.</w:t>
      </w:r>
    </w:p>
    <w:p>
      <w:pPr>
        <w:spacing w:after="80" w:line="312"/>
        <w:jc w:val="both"/>
      </w:pPr>
      <w:r>
        <w:rPr>
          <w:rFonts w:ascii="Calibri" w:eastAsia="Microsoft YaHei"/>
          <w:b/>
          <w:bCs/>
          <w:color w:val="1A2B40"/>
          <w:sz w:val="24"/>
          <w:szCs w:val="24"/>
        </w:rPr>
        <w:t xml:space="preserve">Self-Evolving Strategies</w:t>
      </w:r>
    </w:p>
    <w:p>
      <w:pPr>
        <w:spacing w:after="80" w:line="312"/>
        <w:jc w:val="both"/>
      </w:pPr>
      <w:r>
        <w:rPr>
          <w:rFonts w:ascii="Calibri" w:eastAsia="Microsoft YaHei"/>
          <w:color w:val="1A2B40"/>
          <w:sz w:val="24"/>
          <w:szCs w:val="24"/>
        </w:rPr>
        <w:t xml:space="preserve">The strategy evolution engine is a feature typically found only in institutional quant desks with dedicated research teams. By automating the optimization cycle with Optuna HPO, A/B testing, and performance-based rotation, Noble Trader Agent democratizes access to continuously improving trading intelligence. The platform literally gets better at trading the longer it runs.</w:t>
      </w:r>
    </w:p>
    <w:p>
      <w:pPr>
        <w:spacing w:after="80" w:line="312"/>
        <w:jc w:val="both"/>
      </w:pPr>
      <w:r>
        <w:rPr>
          <w:rFonts w:ascii="Calibri" w:eastAsia="Microsoft YaHei"/>
          <w:b/>
          <w:bCs/>
          <w:color w:val="1A2B40"/>
          <w:sz w:val="24"/>
          <w:szCs w:val="24"/>
        </w:rPr>
        <w:t xml:space="preserve">Topological Early Warning</w:t>
      </w:r>
    </w:p>
    <w:p>
      <w:pPr>
        <w:spacing w:after="80" w:line="312"/>
        <w:jc w:val="both"/>
      </w:pPr>
      <w:r>
        <w:rPr>
          <w:rFonts w:ascii="Calibri" w:eastAsia="Microsoft YaHei"/>
          <w:color w:val="1A2B40"/>
          <w:sz w:val="24"/>
          <w:szCs w:val="24"/>
        </w:rPr>
        <w:t xml:space="preserve">TDA-based anomaly detection is a frontier technique that is not available in any retail or semi-professional trading platform. By detecting structural changes in market data geometry before they manifest in price action, Noble Trader Agent provides an early warning capability that gives traders a time advantage measured in hours or days, not minutes.</w:t>
      </w:r>
    </w:p>
    <w:p>
      <w:pPr>
        <w:spacing w:after="80" w:line="312"/>
        <w:jc w:val="both"/>
      </w:pPr>
      <w:r>
        <w:rPr>
          <w:rFonts w:ascii="Calibri" w:eastAsia="Microsoft YaHei"/>
          <w:b/>
          <w:bCs/>
          <w:color w:val="1A2B40"/>
          <w:sz w:val="24"/>
          <w:szCs w:val="24"/>
        </w:rPr>
        <w:t xml:space="preserve">Validation-Before-Execution</w:t>
      </w:r>
    </w:p>
    <w:p>
      <w:pPr>
        <w:spacing w:after="80" w:line="312"/>
        <w:jc w:val="both"/>
      </w:pPr>
      <w:r>
        <w:rPr>
          <w:rFonts w:ascii="Calibri" w:eastAsia="Microsoft YaHei"/>
          <w:color w:val="1A2B40"/>
          <w:sz w:val="24"/>
          <w:szCs w:val="24"/>
        </w:rPr>
        <w:t xml:space="preserve">The walk-forward validation gate is a rigorous safeguard that prevents the deployment of overfitted strategies. Most platforms allow users to execute trades based on any signal; Noble Trader Agent requires that every recommendation first prove its robustness through out-of-sample testing. This systematic validation discipline dramatically reduces the probability of strategy failure in live markets.</w:t>
      </w:r>
    </w:p>
    <w:p>
      <w:pPr>
        <w:spacing w:after="80" w:line="312"/>
        <w:jc w:val="both"/>
      </w:pPr>
      <w:r>
        <w:rPr>
          <w:rFonts w:ascii="Calibri" w:eastAsia="Microsoft YaHei"/>
          <w:b/>
          <w:bCs/>
          <w:color w:val="1A2B40"/>
          <w:sz w:val="24"/>
          <w:szCs w:val="24"/>
        </w:rPr>
        <w:t xml:space="preserve">Full-Stack Quantitative Platform</w:t>
      </w:r>
    </w:p>
    <w:p>
      <w:pPr>
        <w:spacing w:after="80" w:line="312"/>
        <w:jc w:val="both"/>
      </w:pPr>
      <w:r>
        <w:rPr>
          <w:rFonts w:ascii="Calibri" w:eastAsia="Microsoft YaHei"/>
          <w:color w:val="1A2B40"/>
          <w:sz w:val="24"/>
          <w:szCs w:val="24"/>
        </w:rPr>
        <w:t xml:space="preserve">Unlike fragmented solutions that require users to assemble separate tools for data, analysis, risk, and execution, Noble Trader Agent provides the entire workflow in a single, cohesive platform. From real-time data streaming through AI commentary and paper trading execution, every component is designed to work together seamlessly, eliminating the integration overhead that typically prevents traders from accessing advanced quantitative capabilities.</w:t>
      </w:r>
    </w:p>
    <w:p>
      <w:pPr>
        <w:pStyle w:val="Heading1"/>
        <w:spacing w:after="160" w:before="360"/>
      </w:pPr>
      <w:r>
        <w:rPr>
          <w:rFonts w:ascii="Times New Roman" w:eastAsia="SimHei"/>
          <w:b/>
          <w:bCs/>
          <w:color w:val="0F2027"/>
          <w:sz w:val="32"/>
          <w:szCs w:val="32"/>
        </w:rPr>
        <w:t xml:space="preserve">Deployment &amp; Access</w:t>
      </w:r>
    </w:p>
    <w:p>
      <w:pPr>
        <w:pBdr>
          <w:bottom w:val="single" w:color="D4AF37" w:sz="6" w:space="8"/>
        </w:pBdr>
        <w:spacing w:after="200" w:before="120"/>
        <w:ind w:left="0" w:right="0"/>
      </w:pPr>
    </w:p>
    <w:p>
      <w:pPr>
        <w:spacing w:after="80" w:line="312"/>
        <w:jc w:val="both"/>
      </w:pPr>
      <w:r>
        <w:rPr>
          <w:rFonts w:ascii="Calibri" w:eastAsia="Microsoft YaHei"/>
          <w:color w:val="1A2B40"/>
          <w:sz w:val="24"/>
          <w:szCs w:val="24"/>
        </w:rPr>
        <w:t xml:space="preserve">Noble Trader Agent is deployed as a cloud-native application with zero infrastructure requirements for end users. The frontend auto-deploys to Vercel on every push to the main branch, ensuring that users always have access to the latest features and bug fixes. The FastAPI backend auto-deploys to Render, with a documented cold-start latency of approximately 30 seconds on the free plan.</w:t>
      </w:r>
    </w:p>
    <w:p>
      <w:pPr>
        <w:spacing w:after="80" w:line="312"/>
        <w:jc w:val="both"/>
      </w:pPr>
      <w:r>
        <w:rPr>
          <w:rFonts w:ascii="Calibri" w:eastAsia="Microsoft YaHei"/>
          <w:color w:val="1A2B40"/>
          <w:sz w:val="24"/>
          <w:szCs w:val="24"/>
        </w:rPr>
        <w:t xml:space="preserve">Access is available through any modern web browser at noble-trader-agent-frontend.vercel.app. New users authenticate via Clerk SSO, which supports email, Google, and GitHub sign-in methods. Upon first login, users are guided through a setup flow to connect their Alpaca paper trading account, after which the full platform functionality becomes immediately available with no additional configuration required.</w:t>
      </w:r>
    </w:p>
    <w:p>
      <w:pPr>
        <w:spacing w:after="80" w:line="312"/>
        <w:jc w:val="both"/>
      </w:pPr>
      <w:r>
        <w:rPr>
          <w:rFonts w:ascii="Calibri" w:eastAsia="Microsoft YaHei"/>
          <w:color w:val="1A2B40"/>
          <w:sz w:val="24"/>
          <w:szCs w:val="24"/>
        </w:rPr>
        <w:t xml:space="preserve">The platform supports keyboard shortcuts for power users (Ctrl+1 through Ctrl+7 for quick navigation between Dashboard, Orders, Trade, Simulate, Portfolio, Search, and Admin views) and includes responsive design for mobile and tablet access. A dark mode theme is available via the theme switcher, and all dashboard components adapt dynamically to different screen sizes.</w:t>
      </w:r>
    </w:p>
    <w:p>
      <w:pPr>
        <w:spacing w:before="600"/>
      </w:pPr>
    </w:p>
    <w:p>
      <w:pPr>
        <w:pBdr>
          <w:top w:val="single" w:color="4A6575" w:sz="4" w:space="12"/>
        </w:pBdr>
        <w:spacing w:after="200" w:before="200"/>
        <w:ind w:left="0" w:right="0"/>
      </w:pPr>
    </w:p>
    <w:p>
      <w:pPr>
        <w:spacing w:line="280"/>
        <w:jc w:val="left"/>
      </w:pPr>
      <w:r>
        <w:rPr>
          <w:rFonts w:ascii="Calibri" w:eastAsia="Microsoft YaHei"/>
          <w:i/>
          <w:iCs/>
          <w:color w:val="4A6575"/>
          <w:sz w:val="18"/>
          <w:szCs w:val="18"/>
        </w:rPr>
        <w:t xml:space="preserve">Disclaimer: This software is for educational and research purposes only. It is not financial advice. All trading occurs on Alpaca paper trading accounts. Past performance does not guarantee future results. Use at your own risk.</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4A6575"/>
        <w:sz w:val="16"/>
        <w:szCs w:val="16"/>
      </w:rPr>
      <w:t xml:space="preserve">Noble Trader Agent  |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Times New Roman" w:eastAsia="SimHei"/>
      <w:b/>
      <w:bCs/>
      <w:color w:val="0F2027"/>
      <w:sz w:val="32"/>
      <w:szCs w:val="32"/>
    </w:rPr>
  </w:style>
  <w:style w:type="paragraph" w:styleId="Heading2">
    <w:name w:val="Heading 2"/>
    <w:basedOn w:val="Normal"/>
    <w:next w:val="Normal"/>
    <w:qFormat/>
    <w:pPr>
      <w:spacing w:after="120" w:before="280" w:line="312"/>
    </w:pPr>
    <w:rPr>
      <w:rFonts w:ascii="Times New Roman" w:eastAsia="SimHei"/>
      <w:b/>
      <w:bCs/>
      <w:color w:val="0F2027"/>
      <w:sz w:val="28"/>
      <w:szCs w:val="28"/>
    </w:rPr>
  </w:style>
  <w:style w:type="paragraph" w:styleId="Heading3">
    <w:name w:val="Heading 3"/>
    <w:basedOn w:val="Normal"/>
    <w:next w:val="Normal"/>
    <w:qFormat/>
    <w:pPr>
      <w:spacing w:after="100" w:before="200" w:line="312"/>
    </w:pPr>
    <w:rPr>
      <w:rFonts w:ascii="Times New Roman" w:eastAsia="SimHei"/>
      <w:b/>
      <w:bCs/>
      <w:color w:val="4A657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2026-05-13T20:48:05.253Z</dcterms:created>
  <dcterms:modified xsi:type="dcterms:W3CDTF">2026-05-13T20:48:05.253Z</dcterms:modified>
</cp:coreProperties>
</file>

<file path=docProps/custom.xml><?xml version="1.0" encoding="utf-8"?>
<Properties xmlns="http://schemas.openxmlformats.org/officeDocument/2006/custom-properties" xmlns:vt="http://schemas.openxmlformats.org/officeDocument/2006/docPropsVTypes"/>
</file>